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45" w:rsidRPr="00166316" w:rsidRDefault="00C77F45" w:rsidP="00166316">
      <w:pPr>
        <w:pStyle w:val="Heading1"/>
        <w:rPr>
          <w:b w:val="0"/>
          <w:bCs/>
          <w:sz w:val="32"/>
        </w:rPr>
      </w:pPr>
      <w:r w:rsidRPr="00166316">
        <w:rPr>
          <w:sz w:val="32"/>
        </w:rPr>
        <w:t xml:space="preserve">Opinia Consiliului fiscal cu privire la </w:t>
      </w:r>
      <w:r w:rsidR="004956F9" w:rsidRPr="00166316">
        <w:rPr>
          <w:sz w:val="32"/>
        </w:rPr>
        <w:t>Legea bugetului de stat</w:t>
      </w:r>
      <w:r w:rsidR="00005CC9" w:rsidRPr="00166316">
        <w:rPr>
          <w:sz w:val="32"/>
        </w:rPr>
        <w:t>, l</w:t>
      </w:r>
      <w:r w:rsidR="003F5D33" w:rsidRPr="00166316">
        <w:rPr>
          <w:sz w:val="32"/>
        </w:rPr>
        <w:t xml:space="preserve">egea bugetului de asigurări sociale </w:t>
      </w:r>
      <w:r w:rsidR="004956F9" w:rsidRPr="00166316">
        <w:rPr>
          <w:sz w:val="32"/>
        </w:rPr>
        <w:t>pe</w:t>
      </w:r>
      <w:r w:rsidR="003F5D33" w:rsidRPr="00166316">
        <w:rPr>
          <w:sz w:val="32"/>
        </w:rPr>
        <w:t>ntru</w:t>
      </w:r>
      <w:r w:rsidR="00005CC9" w:rsidRPr="00166316">
        <w:rPr>
          <w:sz w:val="32"/>
        </w:rPr>
        <w:t xml:space="preserve"> anul 2019 și la Strategia fiscal-bugetară pentru perioada 2019-2021</w:t>
      </w:r>
    </w:p>
    <w:p w:rsidR="003213F2" w:rsidRPr="00907800" w:rsidRDefault="004218FE" w:rsidP="00D814E7">
      <w:pPr>
        <w:jc w:val="both"/>
        <w:rPr>
          <w:sz w:val="24"/>
          <w:szCs w:val="24"/>
        </w:rPr>
      </w:pPr>
      <w:r w:rsidRPr="00907800">
        <w:rPr>
          <w:sz w:val="24"/>
          <w:szCs w:val="24"/>
        </w:rPr>
        <w:t xml:space="preserve">În data de </w:t>
      </w:r>
      <w:r w:rsidR="00005CC9" w:rsidRPr="00907800">
        <w:rPr>
          <w:bCs/>
          <w:sz w:val="24"/>
          <w:szCs w:val="24"/>
        </w:rPr>
        <w:t>31 ianuarie</w:t>
      </w:r>
      <w:r w:rsidR="00472280" w:rsidRPr="00907800">
        <w:rPr>
          <w:bCs/>
          <w:sz w:val="24"/>
          <w:szCs w:val="24"/>
        </w:rPr>
        <w:t xml:space="preserve"> 2019</w:t>
      </w:r>
      <w:r w:rsidR="003213F2" w:rsidRPr="00907800">
        <w:rPr>
          <w:sz w:val="24"/>
          <w:szCs w:val="24"/>
        </w:rPr>
        <w:t>, Consiliul</w:t>
      </w:r>
      <w:r w:rsidRPr="00907800">
        <w:rPr>
          <w:sz w:val="24"/>
          <w:szCs w:val="24"/>
        </w:rPr>
        <w:t xml:space="preserve"> fiscal a primit </w:t>
      </w:r>
      <w:r w:rsidR="003213F2" w:rsidRPr="00907800">
        <w:rPr>
          <w:sz w:val="24"/>
          <w:szCs w:val="24"/>
        </w:rPr>
        <w:t>în format elect</w:t>
      </w:r>
      <w:r w:rsidR="00231D06" w:rsidRPr="00907800">
        <w:rPr>
          <w:sz w:val="24"/>
          <w:szCs w:val="24"/>
        </w:rPr>
        <w:t>r</w:t>
      </w:r>
      <w:r w:rsidR="003213F2" w:rsidRPr="00907800">
        <w:rPr>
          <w:sz w:val="24"/>
          <w:szCs w:val="24"/>
        </w:rPr>
        <w:t>o</w:t>
      </w:r>
      <w:r w:rsidR="00231D06" w:rsidRPr="00907800">
        <w:rPr>
          <w:sz w:val="24"/>
          <w:szCs w:val="24"/>
        </w:rPr>
        <w:t xml:space="preserve">nic </w:t>
      </w:r>
      <w:r w:rsidRPr="00907800">
        <w:rPr>
          <w:sz w:val="24"/>
          <w:szCs w:val="24"/>
        </w:rPr>
        <w:t xml:space="preserve">de la Ministerul Finanţelor Publice (MFP) adresa nr. </w:t>
      </w:r>
      <w:r w:rsidR="00C309DC" w:rsidRPr="00907800">
        <w:rPr>
          <w:bCs/>
          <w:sz w:val="24"/>
          <w:szCs w:val="24"/>
        </w:rPr>
        <w:t>4</w:t>
      </w:r>
      <w:r w:rsidR="00005CC9" w:rsidRPr="00907800">
        <w:rPr>
          <w:bCs/>
          <w:sz w:val="24"/>
          <w:szCs w:val="24"/>
        </w:rPr>
        <w:t>62204</w:t>
      </w:r>
      <w:r w:rsidR="00231D06" w:rsidRPr="00907800">
        <w:rPr>
          <w:sz w:val="24"/>
          <w:szCs w:val="24"/>
        </w:rPr>
        <w:t>, prin care i se solicita, în baza art. 53</w:t>
      </w:r>
      <w:r w:rsidRPr="00907800">
        <w:rPr>
          <w:sz w:val="24"/>
          <w:szCs w:val="24"/>
        </w:rPr>
        <w:t xml:space="preserve">, alin. (2) din Legea </w:t>
      </w:r>
      <w:r w:rsidR="000E0B95" w:rsidRPr="00907800">
        <w:rPr>
          <w:sz w:val="24"/>
          <w:szCs w:val="24"/>
        </w:rPr>
        <w:t xml:space="preserve">responsabilității fiscal-bugetare </w:t>
      </w:r>
      <w:r w:rsidRPr="00907800">
        <w:rPr>
          <w:sz w:val="24"/>
          <w:szCs w:val="24"/>
        </w:rPr>
        <w:t>nr. 69/2010</w:t>
      </w:r>
      <w:r w:rsidR="000E0B95" w:rsidRPr="00907800">
        <w:rPr>
          <w:sz w:val="24"/>
          <w:szCs w:val="24"/>
        </w:rPr>
        <w:t xml:space="preserve"> (LRFB)</w:t>
      </w:r>
      <w:r w:rsidR="00231D06" w:rsidRPr="00907800">
        <w:rPr>
          <w:sz w:val="24"/>
          <w:szCs w:val="24"/>
        </w:rPr>
        <w:t xml:space="preserve"> republicată</w:t>
      </w:r>
      <w:r w:rsidRPr="00907800">
        <w:rPr>
          <w:sz w:val="24"/>
          <w:szCs w:val="24"/>
        </w:rPr>
        <w:t xml:space="preserve">, formularea opiniei </w:t>
      </w:r>
      <w:r w:rsidR="00042397">
        <w:rPr>
          <w:sz w:val="24"/>
          <w:szCs w:val="24"/>
        </w:rPr>
        <w:t>referitoare la</w:t>
      </w:r>
      <w:r w:rsidR="00042397" w:rsidRPr="00907800">
        <w:rPr>
          <w:sz w:val="24"/>
          <w:szCs w:val="24"/>
        </w:rPr>
        <w:t xml:space="preserve"> </w:t>
      </w:r>
      <w:r w:rsidR="00D814E7" w:rsidRPr="00907800">
        <w:rPr>
          <w:sz w:val="24"/>
          <w:szCs w:val="24"/>
        </w:rPr>
        <w:t>Raportul privind situaţia macroeconomică pentru anul 201</w:t>
      </w:r>
      <w:r w:rsidR="00005CC9" w:rsidRPr="00907800">
        <w:rPr>
          <w:sz w:val="24"/>
          <w:szCs w:val="24"/>
        </w:rPr>
        <w:t>9</w:t>
      </w:r>
      <w:r w:rsidR="00D814E7" w:rsidRPr="00907800">
        <w:rPr>
          <w:sz w:val="24"/>
          <w:szCs w:val="24"/>
        </w:rPr>
        <w:t xml:space="preserve"> şi pr</w:t>
      </w:r>
      <w:r w:rsidR="00005CC9" w:rsidRPr="00907800">
        <w:rPr>
          <w:sz w:val="24"/>
          <w:szCs w:val="24"/>
        </w:rPr>
        <w:t>oiecţia acesteia în perioada 2020-2022</w:t>
      </w:r>
      <w:r w:rsidR="00D814E7" w:rsidRPr="00907800">
        <w:rPr>
          <w:sz w:val="24"/>
          <w:szCs w:val="24"/>
        </w:rPr>
        <w:t xml:space="preserve">, proiectul Legii bugetului </w:t>
      </w:r>
      <w:r w:rsidR="00231D06" w:rsidRPr="00907800">
        <w:rPr>
          <w:sz w:val="24"/>
          <w:szCs w:val="24"/>
        </w:rPr>
        <w:t>de stat pe anul 201</w:t>
      </w:r>
      <w:r w:rsidR="00005CC9" w:rsidRPr="00907800">
        <w:rPr>
          <w:sz w:val="24"/>
          <w:szCs w:val="24"/>
        </w:rPr>
        <w:t>9</w:t>
      </w:r>
      <w:r w:rsidR="00412B29" w:rsidRPr="00907800">
        <w:rPr>
          <w:sz w:val="24"/>
          <w:szCs w:val="24"/>
        </w:rPr>
        <w:t xml:space="preserve">, </w:t>
      </w:r>
      <w:r w:rsidR="00993BEE" w:rsidRPr="00907800">
        <w:rPr>
          <w:sz w:val="24"/>
          <w:szCs w:val="24"/>
        </w:rPr>
        <w:t>proiectul Legii asigurărilor sociale de stat pentru anul 201</w:t>
      </w:r>
      <w:r w:rsidR="00005CC9" w:rsidRPr="00907800">
        <w:rPr>
          <w:sz w:val="24"/>
          <w:szCs w:val="24"/>
        </w:rPr>
        <w:t>9</w:t>
      </w:r>
      <w:r w:rsidR="00993BEE" w:rsidRPr="00907800">
        <w:rPr>
          <w:sz w:val="24"/>
          <w:szCs w:val="24"/>
        </w:rPr>
        <w:t xml:space="preserve">, </w:t>
      </w:r>
      <w:r w:rsidR="00412B29" w:rsidRPr="00907800">
        <w:rPr>
          <w:sz w:val="24"/>
          <w:szCs w:val="24"/>
        </w:rPr>
        <w:t>Strategia fiscal</w:t>
      </w:r>
      <w:r w:rsidR="00EC74A8" w:rsidRPr="00907800">
        <w:rPr>
          <w:sz w:val="24"/>
          <w:szCs w:val="24"/>
        </w:rPr>
        <w:t>-</w:t>
      </w:r>
      <w:r w:rsidR="00412B29" w:rsidRPr="00907800">
        <w:rPr>
          <w:sz w:val="24"/>
          <w:szCs w:val="24"/>
        </w:rPr>
        <w:t>bugetară</w:t>
      </w:r>
      <w:r w:rsidR="001708E9" w:rsidRPr="00907800">
        <w:rPr>
          <w:sz w:val="24"/>
          <w:szCs w:val="24"/>
        </w:rPr>
        <w:t xml:space="preserve"> (SFB)</w:t>
      </w:r>
      <w:r w:rsidR="00412B29" w:rsidRPr="00907800">
        <w:rPr>
          <w:sz w:val="24"/>
          <w:szCs w:val="24"/>
        </w:rPr>
        <w:t xml:space="preserve"> pentru perioada 201</w:t>
      </w:r>
      <w:r w:rsidR="00005CC9" w:rsidRPr="00907800">
        <w:rPr>
          <w:sz w:val="24"/>
          <w:szCs w:val="24"/>
        </w:rPr>
        <w:t>9</w:t>
      </w:r>
      <w:r w:rsidR="00412B29" w:rsidRPr="00907800">
        <w:rPr>
          <w:sz w:val="24"/>
          <w:szCs w:val="24"/>
        </w:rPr>
        <w:t>-20</w:t>
      </w:r>
      <w:r w:rsidR="00005CC9" w:rsidRPr="00907800">
        <w:rPr>
          <w:sz w:val="24"/>
          <w:szCs w:val="24"/>
        </w:rPr>
        <w:t>21</w:t>
      </w:r>
      <w:r w:rsidR="00993BEE" w:rsidRPr="00907800">
        <w:rPr>
          <w:sz w:val="24"/>
          <w:szCs w:val="24"/>
        </w:rPr>
        <w:t xml:space="preserve">, </w:t>
      </w:r>
      <w:r w:rsidR="00005CC9" w:rsidRPr="00907800">
        <w:rPr>
          <w:sz w:val="24"/>
          <w:szCs w:val="24"/>
        </w:rPr>
        <w:t xml:space="preserve">precum și asupra </w:t>
      </w:r>
      <w:r w:rsidR="00993BEE" w:rsidRPr="00907800">
        <w:rPr>
          <w:sz w:val="24"/>
          <w:szCs w:val="24"/>
        </w:rPr>
        <w:t>proiectul</w:t>
      </w:r>
      <w:r w:rsidR="00005CC9" w:rsidRPr="00907800">
        <w:rPr>
          <w:sz w:val="24"/>
          <w:szCs w:val="24"/>
        </w:rPr>
        <w:t>ui</w:t>
      </w:r>
      <w:r w:rsidR="00993BEE" w:rsidRPr="00907800">
        <w:rPr>
          <w:sz w:val="24"/>
          <w:szCs w:val="24"/>
        </w:rPr>
        <w:t xml:space="preserve"> Legii pentru aprobarea plafoanelor unor indicatori specificați în ca</w:t>
      </w:r>
      <w:r w:rsidR="00005CC9" w:rsidRPr="00907800">
        <w:rPr>
          <w:sz w:val="24"/>
          <w:szCs w:val="24"/>
        </w:rPr>
        <w:t>drul fiscal-bugetar pe anul 2019</w:t>
      </w:r>
      <w:r w:rsidR="003213F2" w:rsidRPr="00907800">
        <w:rPr>
          <w:sz w:val="24"/>
          <w:szCs w:val="24"/>
        </w:rPr>
        <w:t>.</w:t>
      </w:r>
      <w:r w:rsidR="004E367C" w:rsidRPr="00907800">
        <w:rPr>
          <w:sz w:val="24"/>
          <w:szCs w:val="24"/>
        </w:rPr>
        <w:t xml:space="preserve"> </w:t>
      </w:r>
    </w:p>
    <w:p w:rsidR="004E367C" w:rsidRPr="00907800" w:rsidRDefault="000E0B95" w:rsidP="000E0B95">
      <w:pPr>
        <w:jc w:val="both"/>
        <w:rPr>
          <w:sz w:val="24"/>
          <w:szCs w:val="24"/>
        </w:rPr>
      </w:pPr>
      <w:r w:rsidRPr="00907800">
        <w:rPr>
          <w:sz w:val="24"/>
          <w:szCs w:val="24"/>
        </w:rPr>
        <w:t xml:space="preserve">Potrivit articolului </w:t>
      </w:r>
      <w:r w:rsidR="004E367C" w:rsidRPr="00907800">
        <w:rPr>
          <w:sz w:val="24"/>
          <w:szCs w:val="24"/>
        </w:rPr>
        <w:t>53</w:t>
      </w:r>
      <w:r w:rsidRPr="00907800">
        <w:rPr>
          <w:sz w:val="24"/>
          <w:szCs w:val="24"/>
        </w:rPr>
        <w:t xml:space="preserve">, alineatul (4) </w:t>
      </w:r>
      <w:r w:rsidR="004E367C" w:rsidRPr="00907800">
        <w:rPr>
          <w:sz w:val="24"/>
          <w:szCs w:val="24"/>
        </w:rPr>
        <w:t>al</w:t>
      </w:r>
      <w:r w:rsidRPr="00907800">
        <w:rPr>
          <w:sz w:val="24"/>
          <w:szCs w:val="24"/>
        </w:rPr>
        <w:t xml:space="preserve"> LRFB, Guvernul și Parlamentul au obligația de a analiza opiniile şi recomandările Consiliului fiscal </w:t>
      </w:r>
      <w:r w:rsidR="00875AE2" w:rsidRPr="00907800">
        <w:rPr>
          <w:b/>
          <w:sz w:val="24"/>
          <w:szCs w:val="24"/>
        </w:rPr>
        <w:t>la elaborarea S</w:t>
      </w:r>
      <w:r w:rsidRPr="00907800">
        <w:rPr>
          <w:b/>
          <w:sz w:val="24"/>
          <w:szCs w:val="24"/>
        </w:rPr>
        <w:t>trategiei fiscal-bugetare, a legilor bugetare anuale, precum şi la elaborarea altor măsuri determinate de aplicarea prezentei legi şi, respectiv,</w:t>
      </w:r>
      <w:r w:rsidR="00C309DC" w:rsidRPr="00907800">
        <w:rPr>
          <w:b/>
          <w:sz w:val="24"/>
          <w:szCs w:val="24"/>
        </w:rPr>
        <w:t xml:space="preserve"> la </w:t>
      </w:r>
      <w:r w:rsidR="0045568B" w:rsidRPr="00907800">
        <w:rPr>
          <w:b/>
          <w:sz w:val="24"/>
          <w:szCs w:val="24"/>
        </w:rPr>
        <w:t>însușirea</w:t>
      </w:r>
      <w:r w:rsidR="00C309DC" w:rsidRPr="00907800">
        <w:rPr>
          <w:b/>
          <w:sz w:val="24"/>
          <w:szCs w:val="24"/>
        </w:rPr>
        <w:t xml:space="preserve">/aprobarea acestora. </w:t>
      </w:r>
    </w:p>
    <w:p w:rsidR="002F3AEC" w:rsidRPr="00907800" w:rsidRDefault="00005CC9" w:rsidP="000E0B95">
      <w:pPr>
        <w:jc w:val="both"/>
        <w:rPr>
          <w:b/>
          <w:sz w:val="24"/>
          <w:szCs w:val="24"/>
        </w:rPr>
      </w:pPr>
      <w:r w:rsidRPr="00907800">
        <w:rPr>
          <w:b/>
          <w:sz w:val="24"/>
          <w:szCs w:val="24"/>
        </w:rPr>
        <w:t>Observații generale</w:t>
      </w:r>
    </w:p>
    <w:p w:rsidR="001708E9" w:rsidRPr="00907800" w:rsidRDefault="001A239A" w:rsidP="000E0B95">
      <w:pPr>
        <w:jc w:val="both"/>
        <w:rPr>
          <w:sz w:val="24"/>
          <w:szCs w:val="24"/>
        </w:rPr>
      </w:pPr>
      <w:r w:rsidRPr="00907800">
        <w:rPr>
          <w:sz w:val="24"/>
          <w:szCs w:val="24"/>
        </w:rPr>
        <w:t xml:space="preserve">Proiectul bugetului general consolidat </w:t>
      </w:r>
      <w:r w:rsidR="007435F2" w:rsidRPr="00907800">
        <w:rPr>
          <w:sz w:val="24"/>
          <w:szCs w:val="24"/>
        </w:rPr>
        <w:t xml:space="preserve">aferent anului 2019 </w:t>
      </w:r>
      <w:r w:rsidRPr="00907800">
        <w:rPr>
          <w:sz w:val="24"/>
          <w:szCs w:val="24"/>
        </w:rPr>
        <w:t xml:space="preserve">țintește un deficit în termeni </w:t>
      </w:r>
      <w:r w:rsidRPr="00907800">
        <w:rPr>
          <w:i/>
          <w:sz w:val="24"/>
          <w:szCs w:val="24"/>
        </w:rPr>
        <w:t xml:space="preserve">cash </w:t>
      </w:r>
      <w:r w:rsidRPr="00907800">
        <w:rPr>
          <w:sz w:val="24"/>
          <w:szCs w:val="24"/>
        </w:rPr>
        <w:t xml:space="preserve">de 2,55% din PIB, </w:t>
      </w:r>
      <w:r w:rsidR="0009393F" w:rsidRPr="00907800">
        <w:rPr>
          <w:sz w:val="24"/>
          <w:szCs w:val="24"/>
        </w:rPr>
        <w:t>fiind avută în vedere o</w:t>
      </w:r>
      <w:r w:rsidRPr="00907800">
        <w:rPr>
          <w:sz w:val="24"/>
          <w:szCs w:val="24"/>
        </w:rPr>
        <w:t xml:space="preserve"> </w:t>
      </w:r>
      <w:r w:rsidR="00773F2D" w:rsidRPr="00907800">
        <w:rPr>
          <w:sz w:val="24"/>
          <w:szCs w:val="24"/>
        </w:rPr>
        <w:t>reducere cu 0,33</w:t>
      </w:r>
      <w:r w:rsidR="00AB3A09">
        <w:rPr>
          <w:sz w:val="24"/>
          <w:szCs w:val="24"/>
        </w:rPr>
        <w:t xml:space="preserve"> pp</w:t>
      </w:r>
      <w:r w:rsidR="00AB3A09" w:rsidRPr="00907800">
        <w:rPr>
          <w:sz w:val="24"/>
          <w:szCs w:val="24"/>
        </w:rPr>
        <w:t xml:space="preserve"> </w:t>
      </w:r>
      <w:r w:rsidR="00773F2D" w:rsidRPr="00907800">
        <w:rPr>
          <w:sz w:val="24"/>
          <w:szCs w:val="24"/>
        </w:rPr>
        <w:t>din PIB</w:t>
      </w:r>
      <w:r w:rsidRPr="00907800">
        <w:rPr>
          <w:sz w:val="24"/>
          <w:szCs w:val="24"/>
        </w:rPr>
        <w:t xml:space="preserve"> </w:t>
      </w:r>
      <w:r w:rsidR="0009393F" w:rsidRPr="00907800">
        <w:rPr>
          <w:sz w:val="24"/>
          <w:szCs w:val="24"/>
        </w:rPr>
        <w:t xml:space="preserve">comparativ </w:t>
      </w:r>
      <w:r w:rsidRPr="00907800">
        <w:rPr>
          <w:sz w:val="24"/>
          <w:szCs w:val="24"/>
        </w:rPr>
        <w:t>cu</w:t>
      </w:r>
      <w:r w:rsidR="0009393F" w:rsidRPr="00907800">
        <w:rPr>
          <w:sz w:val="24"/>
          <w:szCs w:val="24"/>
        </w:rPr>
        <w:t xml:space="preserve"> nivelul</w:t>
      </w:r>
      <w:r w:rsidRPr="00907800">
        <w:rPr>
          <w:sz w:val="24"/>
          <w:szCs w:val="24"/>
        </w:rPr>
        <w:t xml:space="preserve"> </w:t>
      </w:r>
      <w:r w:rsidR="0009393F" w:rsidRPr="00907800">
        <w:rPr>
          <w:sz w:val="24"/>
          <w:szCs w:val="24"/>
        </w:rPr>
        <w:t>înregistrat la finele anului 2018 (</w:t>
      </w:r>
      <w:r w:rsidRPr="00907800">
        <w:rPr>
          <w:sz w:val="24"/>
          <w:szCs w:val="24"/>
        </w:rPr>
        <w:t>2,88% din PIB</w:t>
      </w:r>
      <w:r w:rsidR="0009393F" w:rsidRPr="00907800">
        <w:rPr>
          <w:sz w:val="24"/>
          <w:szCs w:val="24"/>
        </w:rPr>
        <w:t>)</w:t>
      </w:r>
      <w:r w:rsidR="007435F2" w:rsidRPr="00907800">
        <w:rPr>
          <w:sz w:val="24"/>
          <w:szCs w:val="24"/>
        </w:rPr>
        <w:t>. Construcția bugetară acomodează presiuni de proporții</w:t>
      </w:r>
      <w:r w:rsidR="0009393F" w:rsidRPr="00907800">
        <w:rPr>
          <w:sz w:val="24"/>
          <w:szCs w:val="24"/>
        </w:rPr>
        <w:t xml:space="preserve"> </w:t>
      </w:r>
      <w:r w:rsidR="007435F2" w:rsidRPr="00907800">
        <w:rPr>
          <w:sz w:val="24"/>
          <w:szCs w:val="24"/>
        </w:rPr>
        <w:t>la nivelul</w:t>
      </w:r>
      <w:r w:rsidR="00D906F2" w:rsidRPr="00907800">
        <w:rPr>
          <w:sz w:val="24"/>
          <w:szCs w:val="24"/>
        </w:rPr>
        <w:t xml:space="preserve"> cheltuielilor de personal (</w:t>
      </w:r>
      <w:r w:rsidR="007435F2" w:rsidRPr="00907800">
        <w:rPr>
          <w:sz w:val="24"/>
          <w:szCs w:val="24"/>
        </w:rPr>
        <w:t xml:space="preserve">acestea sunt preconizate să crească cu </w:t>
      </w:r>
      <w:r w:rsidR="00D906F2" w:rsidRPr="00907800">
        <w:rPr>
          <w:sz w:val="24"/>
          <w:szCs w:val="24"/>
        </w:rPr>
        <w:t xml:space="preserve">16,3 mld. lei, echivalentul unei </w:t>
      </w:r>
      <w:r w:rsidR="007435F2" w:rsidRPr="00907800">
        <w:rPr>
          <w:sz w:val="24"/>
          <w:szCs w:val="24"/>
        </w:rPr>
        <w:t>majorări</w:t>
      </w:r>
      <w:r w:rsidR="007C321E">
        <w:rPr>
          <w:sz w:val="24"/>
          <w:szCs w:val="24"/>
        </w:rPr>
        <w:t xml:space="preserve"> cu 19% a anvelopei salariale ș</w:t>
      </w:r>
      <w:r w:rsidR="00D906F2" w:rsidRPr="00907800">
        <w:rPr>
          <w:sz w:val="24"/>
          <w:szCs w:val="24"/>
        </w:rPr>
        <w:t>i a unui plus de 0,95</w:t>
      </w:r>
      <w:r w:rsidR="00AB3A09">
        <w:rPr>
          <w:sz w:val="24"/>
          <w:szCs w:val="24"/>
        </w:rPr>
        <w:t xml:space="preserve"> pp</w:t>
      </w:r>
      <w:r w:rsidR="00AB3A09" w:rsidRPr="00907800">
        <w:rPr>
          <w:sz w:val="24"/>
          <w:szCs w:val="24"/>
        </w:rPr>
        <w:t xml:space="preserve"> </w:t>
      </w:r>
      <w:r w:rsidR="00D906F2" w:rsidRPr="00907800">
        <w:rPr>
          <w:sz w:val="24"/>
          <w:szCs w:val="24"/>
        </w:rPr>
        <w:t>din PIB comparativ cu nivelul</w:t>
      </w:r>
      <w:r w:rsidR="007435F2" w:rsidRPr="00907800">
        <w:rPr>
          <w:sz w:val="24"/>
          <w:szCs w:val="24"/>
        </w:rPr>
        <w:t xml:space="preserve"> cheltuielilor</w:t>
      </w:r>
      <w:r w:rsidR="00D906F2" w:rsidRPr="00907800">
        <w:rPr>
          <w:sz w:val="24"/>
          <w:szCs w:val="24"/>
        </w:rPr>
        <w:t xml:space="preserve"> din 2018</w:t>
      </w:r>
      <w:r w:rsidR="00B91586">
        <w:rPr>
          <w:rStyle w:val="FootnoteReference"/>
          <w:sz w:val="24"/>
          <w:szCs w:val="24"/>
        </w:rPr>
        <w:footnoteReference w:id="1"/>
      </w:r>
      <w:r w:rsidR="00D906F2" w:rsidRPr="00907800">
        <w:rPr>
          <w:sz w:val="24"/>
          <w:szCs w:val="24"/>
        </w:rPr>
        <w:t>)</w:t>
      </w:r>
      <w:r w:rsidR="007435F2" w:rsidRPr="00907800">
        <w:rPr>
          <w:sz w:val="24"/>
          <w:szCs w:val="24"/>
        </w:rPr>
        <w:t>, menținerea unui ritm ridicat de creștere a cheltuielilor de asistență socială și o expansiune de amploare a investițiilor publice (pe seama proiectelor cu finanțare europeană nerambursabilă),</w:t>
      </w:r>
      <w:r w:rsidR="00C822E7" w:rsidRPr="00907800">
        <w:rPr>
          <w:sz w:val="24"/>
          <w:szCs w:val="24"/>
        </w:rPr>
        <w:t xml:space="preserve"> alături de acordarea de facilități fiscale consistente în sectorul construcțiilor (impact bugetar au scutirea de contribuția de sănătate și de impozit pe venit). Î</w:t>
      </w:r>
      <w:r w:rsidR="007435F2" w:rsidRPr="00907800">
        <w:rPr>
          <w:sz w:val="24"/>
          <w:szCs w:val="24"/>
        </w:rPr>
        <w:t xml:space="preserve">nscrierea în ținta de deficit </w:t>
      </w:r>
      <w:r w:rsidR="00C822E7" w:rsidRPr="00907800">
        <w:rPr>
          <w:sz w:val="24"/>
          <w:szCs w:val="24"/>
        </w:rPr>
        <w:t xml:space="preserve">este estimată a se </w:t>
      </w:r>
      <w:r w:rsidR="007435F2" w:rsidRPr="00907800">
        <w:rPr>
          <w:sz w:val="24"/>
          <w:szCs w:val="24"/>
        </w:rPr>
        <w:t>realiz</w:t>
      </w:r>
      <w:r w:rsidR="00C822E7" w:rsidRPr="00907800">
        <w:rPr>
          <w:sz w:val="24"/>
          <w:szCs w:val="24"/>
        </w:rPr>
        <w:t>a</w:t>
      </w:r>
      <w:r w:rsidR="007435F2" w:rsidRPr="00907800">
        <w:rPr>
          <w:sz w:val="24"/>
          <w:szCs w:val="24"/>
        </w:rPr>
        <w:t xml:space="preserve"> </w:t>
      </w:r>
      <w:r w:rsidR="00C822E7" w:rsidRPr="00907800">
        <w:rPr>
          <w:sz w:val="24"/>
          <w:szCs w:val="24"/>
        </w:rPr>
        <w:t xml:space="preserve">pe fondul </w:t>
      </w:r>
      <w:r w:rsidR="007435F2" w:rsidRPr="00907800">
        <w:rPr>
          <w:sz w:val="24"/>
          <w:szCs w:val="24"/>
        </w:rPr>
        <w:t xml:space="preserve">unei preconizate accelerări a creșterii economice reale și a </w:t>
      </w:r>
      <w:r w:rsidR="00374623" w:rsidRPr="00907800">
        <w:rPr>
          <w:sz w:val="24"/>
          <w:szCs w:val="24"/>
        </w:rPr>
        <w:t>unor ritmuri alerte ale</w:t>
      </w:r>
      <w:r w:rsidR="00490612">
        <w:rPr>
          <w:sz w:val="24"/>
          <w:szCs w:val="24"/>
        </w:rPr>
        <w:t xml:space="preserve"> </w:t>
      </w:r>
      <w:r w:rsidR="00374623" w:rsidRPr="00907800">
        <w:rPr>
          <w:sz w:val="24"/>
          <w:szCs w:val="24"/>
        </w:rPr>
        <w:t xml:space="preserve">dinamicii salariale și numărului de salariați din sectorul privat (13,8%, respectiv 3,7%), a unor </w:t>
      </w:r>
      <w:r w:rsidR="00773F2D" w:rsidRPr="00907800">
        <w:rPr>
          <w:sz w:val="24"/>
          <w:szCs w:val="24"/>
        </w:rPr>
        <w:t>creșter</w:t>
      </w:r>
      <w:r w:rsidR="00541C18">
        <w:rPr>
          <w:sz w:val="24"/>
          <w:szCs w:val="24"/>
        </w:rPr>
        <w:t>i</w:t>
      </w:r>
      <w:r w:rsidR="00773F2D" w:rsidRPr="00907800">
        <w:rPr>
          <w:sz w:val="24"/>
          <w:szCs w:val="24"/>
        </w:rPr>
        <w:t xml:space="preserve"> substanțiale de </w:t>
      </w:r>
      <w:r w:rsidR="00374623" w:rsidRPr="00907800">
        <w:rPr>
          <w:sz w:val="24"/>
          <w:szCs w:val="24"/>
        </w:rPr>
        <w:t xml:space="preserve">venituri </w:t>
      </w:r>
      <w:r w:rsidR="00773F2D" w:rsidRPr="00907800">
        <w:rPr>
          <w:sz w:val="24"/>
          <w:szCs w:val="24"/>
        </w:rPr>
        <w:t>din</w:t>
      </w:r>
      <w:r w:rsidR="00374623" w:rsidRPr="00907800">
        <w:rPr>
          <w:sz w:val="24"/>
          <w:szCs w:val="24"/>
        </w:rPr>
        <w:t xml:space="preserve"> TVA pe fondul unei p</w:t>
      </w:r>
      <w:r w:rsidR="007C321E">
        <w:rPr>
          <w:sz w:val="24"/>
          <w:szCs w:val="24"/>
        </w:rPr>
        <w:t>roiectate</w:t>
      </w:r>
      <w:r w:rsidR="00374623" w:rsidRPr="00907800">
        <w:rPr>
          <w:sz w:val="24"/>
          <w:szCs w:val="24"/>
        </w:rPr>
        <w:t xml:space="preserve"> îmbunătățiri a colectării, luării în calcul a unor venituri excepționale din închirierea </w:t>
      </w:r>
      <w:r w:rsidR="00C822E7" w:rsidRPr="00907800">
        <w:rPr>
          <w:sz w:val="24"/>
          <w:szCs w:val="24"/>
        </w:rPr>
        <w:t xml:space="preserve">benzilor de frecvență 5G, </w:t>
      </w:r>
      <w:r w:rsidR="00F13EC5" w:rsidRPr="00907800">
        <w:rPr>
          <w:sz w:val="24"/>
          <w:szCs w:val="24"/>
        </w:rPr>
        <w:t xml:space="preserve">precum și a </w:t>
      </w:r>
      <w:r w:rsidR="00C822E7" w:rsidRPr="00907800">
        <w:rPr>
          <w:sz w:val="24"/>
          <w:szCs w:val="24"/>
        </w:rPr>
        <w:t>taxării suplimentare în se</w:t>
      </w:r>
      <w:r w:rsidR="00F13EC5" w:rsidRPr="00907800">
        <w:rPr>
          <w:sz w:val="24"/>
          <w:szCs w:val="24"/>
        </w:rPr>
        <w:t>cto</w:t>
      </w:r>
      <w:r w:rsidR="00C822E7" w:rsidRPr="00907800">
        <w:rPr>
          <w:sz w:val="24"/>
          <w:szCs w:val="24"/>
        </w:rPr>
        <w:t>r</w:t>
      </w:r>
      <w:r w:rsidR="00F13EC5" w:rsidRPr="00907800">
        <w:rPr>
          <w:sz w:val="24"/>
          <w:szCs w:val="24"/>
        </w:rPr>
        <w:t>ul</w:t>
      </w:r>
      <w:r w:rsidR="00C822E7" w:rsidRPr="00907800">
        <w:rPr>
          <w:sz w:val="24"/>
          <w:szCs w:val="24"/>
        </w:rPr>
        <w:t xml:space="preserve"> </w:t>
      </w:r>
      <w:r w:rsidR="00F13EC5" w:rsidRPr="00907800">
        <w:rPr>
          <w:sz w:val="24"/>
          <w:szCs w:val="24"/>
        </w:rPr>
        <w:t>energetic, cel de comunicații și</w:t>
      </w:r>
      <w:r w:rsidR="00181FC8" w:rsidRPr="00907800">
        <w:rPr>
          <w:sz w:val="24"/>
          <w:szCs w:val="24"/>
        </w:rPr>
        <w:t xml:space="preserve"> în domeniul jocurilor de noroc</w:t>
      </w:r>
      <w:r w:rsidR="00773F2D" w:rsidRPr="00907800">
        <w:rPr>
          <w:sz w:val="24"/>
          <w:szCs w:val="24"/>
        </w:rPr>
        <w:t>. P</w:t>
      </w:r>
      <w:r w:rsidR="00F13EC5" w:rsidRPr="00907800">
        <w:rPr>
          <w:sz w:val="24"/>
          <w:szCs w:val="24"/>
        </w:rPr>
        <w:t xml:space="preserve">e partea de cheltuieli </w:t>
      </w:r>
      <w:r w:rsidR="00773F2D" w:rsidRPr="00907800">
        <w:rPr>
          <w:sz w:val="24"/>
          <w:szCs w:val="24"/>
        </w:rPr>
        <w:t>sunt avute</w:t>
      </w:r>
      <w:r w:rsidR="00F13EC5" w:rsidRPr="00907800">
        <w:rPr>
          <w:sz w:val="24"/>
          <w:szCs w:val="24"/>
        </w:rPr>
        <w:t xml:space="preserve"> în vedere</w:t>
      </w:r>
      <w:r w:rsidR="00773F2D" w:rsidRPr="00907800">
        <w:rPr>
          <w:sz w:val="24"/>
          <w:szCs w:val="24"/>
        </w:rPr>
        <w:t xml:space="preserve"> ca surse de ajustare bugetară</w:t>
      </w:r>
      <w:r w:rsidR="00F13EC5" w:rsidRPr="00907800">
        <w:rPr>
          <w:sz w:val="24"/>
          <w:szCs w:val="24"/>
        </w:rPr>
        <w:t xml:space="preserve"> o contracție nominală</w:t>
      </w:r>
      <w:r w:rsidR="00C822E7" w:rsidRPr="00907800">
        <w:rPr>
          <w:sz w:val="24"/>
          <w:szCs w:val="24"/>
        </w:rPr>
        <w:t xml:space="preserve"> a cheltuiel</w:t>
      </w:r>
      <w:r w:rsidR="00F13EC5" w:rsidRPr="00907800">
        <w:rPr>
          <w:sz w:val="24"/>
          <w:szCs w:val="24"/>
        </w:rPr>
        <w:t xml:space="preserve">ilor de </w:t>
      </w:r>
      <w:r w:rsidR="00181FC8" w:rsidRPr="00907800">
        <w:rPr>
          <w:sz w:val="24"/>
          <w:szCs w:val="24"/>
        </w:rPr>
        <w:t>capital</w:t>
      </w:r>
      <w:r w:rsidR="00F13EC5" w:rsidRPr="00907800">
        <w:rPr>
          <w:sz w:val="24"/>
          <w:szCs w:val="24"/>
        </w:rPr>
        <w:t xml:space="preserve"> cu fina</w:t>
      </w:r>
      <w:r w:rsidR="00541C18">
        <w:rPr>
          <w:sz w:val="24"/>
          <w:szCs w:val="24"/>
        </w:rPr>
        <w:t>n</w:t>
      </w:r>
      <w:r w:rsidR="00F13EC5" w:rsidRPr="00907800">
        <w:rPr>
          <w:sz w:val="24"/>
          <w:szCs w:val="24"/>
        </w:rPr>
        <w:t xml:space="preserve">țare din surse proprii și </w:t>
      </w:r>
      <w:r w:rsidR="00C822E7" w:rsidRPr="00907800">
        <w:rPr>
          <w:sz w:val="24"/>
          <w:szCs w:val="24"/>
        </w:rPr>
        <w:t xml:space="preserve"> </w:t>
      </w:r>
      <w:r w:rsidR="00F13EC5" w:rsidRPr="00907800">
        <w:rPr>
          <w:sz w:val="24"/>
          <w:szCs w:val="24"/>
        </w:rPr>
        <w:t>temperarea semnificativă</w:t>
      </w:r>
      <w:r w:rsidR="00C822E7" w:rsidRPr="00907800">
        <w:rPr>
          <w:sz w:val="24"/>
          <w:szCs w:val="24"/>
        </w:rPr>
        <w:t xml:space="preserve"> </w:t>
      </w:r>
      <w:r w:rsidR="00C822E7" w:rsidRPr="00907800">
        <w:rPr>
          <w:sz w:val="24"/>
          <w:szCs w:val="24"/>
        </w:rPr>
        <w:lastRenderedPageBreak/>
        <w:t xml:space="preserve">a </w:t>
      </w:r>
      <w:r w:rsidR="00F13EC5" w:rsidRPr="00907800">
        <w:rPr>
          <w:sz w:val="24"/>
          <w:szCs w:val="24"/>
        </w:rPr>
        <w:t>ritmului de creștere</w:t>
      </w:r>
      <w:r w:rsidR="00C822E7" w:rsidRPr="00907800">
        <w:rPr>
          <w:sz w:val="24"/>
          <w:szCs w:val="24"/>
        </w:rPr>
        <w:t xml:space="preserve"> </w:t>
      </w:r>
      <w:r w:rsidR="00F13EC5" w:rsidRPr="00907800">
        <w:rPr>
          <w:sz w:val="24"/>
          <w:szCs w:val="24"/>
        </w:rPr>
        <w:t>la nivelul</w:t>
      </w:r>
      <w:r w:rsidR="00C822E7" w:rsidRPr="00907800">
        <w:rPr>
          <w:sz w:val="24"/>
          <w:szCs w:val="24"/>
        </w:rPr>
        <w:t xml:space="preserve"> cheltuielilor cu dobânzile și a</w:t>
      </w:r>
      <w:r w:rsidR="007C321E">
        <w:rPr>
          <w:sz w:val="24"/>
          <w:szCs w:val="24"/>
        </w:rPr>
        <w:t xml:space="preserve"> celor cu achizițiile</w:t>
      </w:r>
      <w:r w:rsidR="00C822E7" w:rsidRPr="00907800">
        <w:rPr>
          <w:sz w:val="24"/>
          <w:szCs w:val="24"/>
        </w:rPr>
        <w:t xml:space="preserve"> de bunuri și servicii.</w:t>
      </w:r>
      <w:r w:rsidR="001708E9" w:rsidRPr="00907800">
        <w:rPr>
          <w:sz w:val="24"/>
          <w:szCs w:val="24"/>
        </w:rPr>
        <w:t xml:space="preserve"> De remarcat că proiectul de buget nu include venituri din recent instituita taxă pe activele bancare – în condițiile </w:t>
      </w:r>
      <w:r w:rsidR="00506110" w:rsidRPr="00907800">
        <w:rPr>
          <w:sz w:val="24"/>
          <w:szCs w:val="24"/>
        </w:rPr>
        <w:t xml:space="preserve">menținerii </w:t>
      </w:r>
      <w:r w:rsidR="001708E9" w:rsidRPr="00907800">
        <w:rPr>
          <w:sz w:val="24"/>
          <w:szCs w:val="24"/>
        </w:rPr>
        <w:t>nivelului curent al ROBOR și al activelor bancare nete, taxa ar genera circa 4 mld. de lei (luând în calcul 3 plăți trimestriale în 2019).</w:t>
      </w:r>
    </w:p>
    <w:p w:rsidR="00506110" w:rsidRPr="00907800" w:rsidRDefault="001708E9" w:rsidP="000E0B95">
      <w:pPr>
        <w:jc w:val="both"/>
        <w:rPr>
          <w:sz w:val="24"/>
          <w:szCs w:val="24"/>
        </w:rPr>
      </w:pPr>
      <w:r w:rsidRPr="00907800">
        <w:rPr>
          <w:sz w:val="24"/>
          <w:szCs w:val="24"/>
        </w:rPr>
        <w:t xml:space="preserve">Ținta de deficit apare drept concordantă cu cea asumată în SFB 2018-2020, echivalând cu o ajustare structurală de 0,3% din PIB în contextul evaluărilor </w:t>
      </w:r>
      <w:r w:rsidR="000D2CDB" w:rsidRPr="00907800">
        <w:rPr>
          <w:sz w:val="24"/>
          <w:szCs w:val="24"/>
        </w:rPr>
        <w:t>C</w:t>
      </w:r>
      <w:r w:rsidR="00773F2D" w:rsidRPr="00907800">
        <w:rPr>
          <w:sz w:val="24"/>
          <w:szCs w:val="24"/>
        </w:rPr>
        <w:t xml:space="preserve">omisiei </w:t>
      </w:r>
      <w:r w:rsidR="000D2CDB" w:rsidRPr="00907800">
        <w:rPr>
          <w:sz w:val="24"/>
          <w:szCs w:val="24"/>
        </w:rPr>
        <w:t>N</w:t>
      </w:r>
      <w:r w:rsidR="00773F2D" w:rsidRPr="00907800">
        <w:rPr>
          <w:sz w:val="24"/>
          <w:szCs w:val="24"/>
        </w:rPr>
        <w:t xml:space="preserve">aționale de </w:t>
      </w:r>
      <w:r w:rsidR="000D2CDB" w:rsidRPr="00907800">
        <w:rPr>
          <w:sz w:val="24"/>
          <w:szCs w:val="24"/>
        </w:rPr>
        <w:t>S</w:t>
      </w:r>
      <w:r w:rsidR="00773F2D" w:rsidRPr="00907800">
        <w:rPr>
          <w:sz w:val="24"/>
          <w:szCs w:val="24"/>
        </w:rPr>
        <w:t xml:space="preserve">trategie și </w:t>
      </w:r>
      <w:r w:rsidR="000D2CDB" w:rsidRPr="00907800">
        <w:rPr>
          <w:sz w:val="24"/>
          <w:szCs w:val="24"/>
        </w:rPr>
        <w:t>P</w:t>
      </w:r>
      <w:r w:rsidR="00773F2D" w:rsidRPr="00907800">
        <w:rPr>
          <w:sz w:val="24"/>
          <w:szCs w:val="24"/>
        </w:rPr>
        <w:t>rognoză</w:t>
      </w:r>
      <w:r w:rsidR="00EA582E">
        <w:rPr>
          <w:sz w:val="24"/>
          <w:szCs w:val="24"/>
        </w:rPr>
        <w:t xml:space="preserve"> </w:t>
      </w:r>
      <w:r w:rsidR="00773F2D" w:rsidRPr="00907800">
        <w:rPr>
          <w:sz w:val="24"/>
          <w:szCs w:val="24"/>
        </w:rPr>
        <w:t>(CNSP)</w:t>
      </w:r>
      <w:r w:rsidR="000D2CDB" w:rsidRPr="00907800">
        <w:rPr>
          <w:sz w:val="24"/>
          <w:szCs w:val="24"/>
        </w:rPr>
        <w:t xml:space="preserve"> cu privire la nivelurile PIB real și potențial și a materializării  deficitu</w:t>
      </w:r>
      <w:r w:rsidR="001F11C8">
        <w:rPr>
          <w:sz w:val="24"/>
          <w:szCs w:val="24"/>
        </w:rPr>
        <w:t>lui</w:t>
      </w:r>
      <w:r w:rsidR="000D2CDB" w:rsidRPr="00907800">
        <w:rPr>
          <w:sz w:val="24"/>
          <w:szCs w:val="24"/>
        </w:rPr>
        <w:t xml:space="preserve"> ESA 2010 preconizat și dinamicii PIB aferente anului 2018. Nivelul ajustării structurale propuse este însă semnificativ inferior recomandării Consiliului Uniunii Europene</w:t>
      </w:r>
      <w:r w:rsidR="000D2CDB" w:rsidRPr="00907800">
        <w:rPr>
          <w:rStyle w:val="FootnoteReference"/>
          <w:sz w:val="24"/>
          <w:szCs w:val="24"/>
        </w:rPr>
        <w:footnoteReference w:id="2"/>
      </w:r>
      <w:r w:rsidR="000D2CDB" w:rsidRPr="00907800">
        <w:rPr>
          <w:sz w:val="24"/>
          <w:szCs w:val="24"/>
        </w:rPr>
        <w:t xml:space="preserve"> emise în contextul procedurii de deviație semnificativă de a </w:t>
      </w:r>
      <w:r w:rsidR="00773F2D" w:rsidRPr="00907800">
        <w:rPr>
          <w:sz w:val="24"/>
          <w:szCs w:val="24"/>
        </w:rPr>
        <w:t>implementa</w:t>
      </w:r>
      <w:r w:rsidR="000D2CDB" w:rsidRPr="00907800">
        <w:rPr>
          <w:sz w:val="24"/>
          <w:szCs w:val="24"/>
        </w:rPr>
        <w:t xml:space="preserve"> o ajustare structurală de 1% din PIB în 2019. De remarcat că traiectoria deficitului structural avută în vedere în proiecția la orizontul</w:t>
      </w:r>
      <w:r w:rsidR="00773F2D" w:rsidRPr="00907800">
        <w:rPr>
          <w:sz w:val="24"/>
          <w:szCs w:val="24"/>
        </w:rPr>
        <w:t xml:space="preserve"> anului</w:t>
      </w:r>
      <w:r w:rsidR="000D2CDB" w:rsidRPr="00907800">
        <w:rPr>
          <w:sz w:val="24"/>
          <w:szCs w:val="24"/>
        </w:rPr>
        <w:t xml:space="preserve"> 2022 implică o ajustare structurală cumulată </w:t>
      </w:r>
      <w:r w:rsidR="000D2CDB" w:rsidRPr="007C321E">
        <w:rPr>
          <w:sz w:val="24"/>
          <w:szCs w:val="24"/>
        </w:rPr>
        <w:t>de circa</w:t>
      </w:r>
      <w:r w:rsidR="000D2CDB" w:rsidRPr="00907800">
        <w:rPr>
          <w:sz w:val="24"/>
          <w:szCs w:val="24"/>
        </w:rPr>
        <w:t xml:space="preserve"> 0,8% din PIB</w:t>
      </w:r>
      <w:r w:rsidR="007C321E">
        <w:rPr>
          <w:sz w:val="24"/>
          <w:szCs w:val="24"/>
        </w:rPr>
        <w:t xml:space="preserve"> în 4 ani</w:t>
      </w:r>
      <w:r w:rsidR="000D2CDB" w:rsidRPr="00907800">
        <w:rPr>
          <w:sz w:val="24"/>
          <w:szCs w:val="24"/>
        </w:rPr>
        <w:t xml:space="preserve">, mult inferioară pasului standard de ajustare </w:t>
      </w:r>
      <w:r w:rsidR="002A656E" w:rsidRPr="00907800">
        <w:rPr>
          <w:sz w:val="24"/>
          <w:szCs w:val="24"/>
        </w:rPr>
        <w:t xml:space="preserve">anuală </w:t>
      </w:r>
      <w:r w:rsidR="000D2CDB" w:rsidRPr="00907800">
        <w:rPr>
          <w:sz w:val="24"/>
          <w:szCs w:val="24"/>
        </w:rPr>
        <w:t>de 0,5% din PIB</w:t>
      </w:r>
      <w:r w:rsidR="00773F2D" w:rsidRPr="00907800">
        <w:rPr>
          <w:sz w:val="24"/>
          <w:szCs w:val="24"/>
        </w:rPr>
        <w:t xml:space="preserve"> prevăzut de reglementările europene</w:t>
      </w:r>
      <w:r w:rsidR="000D2CDB" w:rsidRPr="00907800">
        <w:rPr>
          <w:sz w:val="24"/>
          <w:szCs w:val="24"/>
        </w:rPr>
        <w:t>,</w:t>
      </w:r>
      <w:r w:rsidR="00773F2D" w:rsidRPr="00907800">
        <w:rPr>
          <w:sz w:val="24"/>
          <w:szCs w:val="24"/>
        </w:rPr>
        <w:t xml:space="preserve"> </w:t>
      </w:r>
      <w:r w:rsidR="000D2CDB" w:rsidRPr="00907800">
        <w:rPr>
          <w:sz w:val="24"/>
          <w:szCs w:val="24"/>
        </w:rPr>
        <w:t xml:space="preserve">o deviație semnificativă de la obiectivul pe termen mediu (definit ca deficit structural de 1% din PIB) continuând să persiste la finele orizontului de proiecție.  </w:t>
      </w:r>
    </w:p>
    <w:p w:rsidR="00506110" w:rsidRPr="00907800" w:rsidRDefault="00506110" w:rsidP="00506110">
      <w:pPr>
        <w:jc w:val="both"/>
        <w:rPr>
          <w:sz w:val="24"/>
          <w:szCs w:val="24"/>
        </w:rPr>
      </w:pPr>
      <w:r w:rsidRPr="00907800">
        <w:rPr>
          <w:sz w:val="24"/>
          <w:szCs w:val="24"/>
        </w:rPr>
        <w:t>Regulile fiscale instituite de LRFB rămân inoperabile – legea companion cu privire la plafoanele unor indicatori specificați în cadrul fiscal-bugetar pe anul 2019 și recent aprobata OUG nr. 114/2018 includ, ca și în anii anteriori, o listă extensivă de derogări de la LRFB:</w:t>
      </w:r>
    </w:p>
    <w:p w:rsidR="00506110" w:rsidRPr="00907800" w:rsidRDefault="00506110" w:rsidP="00506110">
      <w:pPr>
        <w:pStyle w:val="ListParagraph"/>
        <w:numPr>
          <w:ilvl w:val="0"/>
          <w:numId w:val="6"/>
        </w:numPr>
        <w:jc w:val="both"/>
        <w:rPr>
          <w:sz w:val="24"/>
          <w:szCs w:val="24"/>
        </w:rPr>
      </w:pPr>
      <w:r w:rsidRPr="00907800">
        <w:rPr>
          <w:sz w:val="24"/>
          <w:szCs w:val="24"/>
        </w:rPr>
        <w:t>Derogare de la art. 6 și 7, care formalizează în legislația națională legătura cu Tratatul de Funcționare al Uniunii Europene din perspectiva valorilor de referință pentru deficitul bugetar și datoria publică;</w:t>
      </w:r>
    </w:p>
    <w:p w:rsidR="00506110" w:rsidRPr="00907800" w:rsidRDefault="00506110" w:rsidP="00506110">
      <w:pPr>
        <w:pStyle w:val="ListParagraph"/>
        <w:numPr>
          <w:ilvl w:val="0"/>
          <w:numId w:val="6"/>
        </w:numPr>
        <w:jc w:val="both"/>
        <w:rPr>
          <w:sz w:val="24"/>
          <w:szCs w:val="24"/>
        </w:rPr>
      </w:pPr>
      <w:r w:rsidRPr="00907800">
        <w:rPr>
          <w:sz w:val="24"/>
          <w:szCs w:val="24"/>
        </w:rPr>
        <w:t>Derogare de la art. 14 alin. 1, conform căruia în cazul constatării unei devieri de la obiectivul bugetar pe termen mediu sau de la cale</w:t>
      </w:r>
      <w:r w:rsidR="007C321E">
        <w:rPr>
          <w:sz w:val="24"/>
          <w:szCs w:val="24"/>
        </w:rPr>
        <w:t>ndarul de ajustare către acest</w:t>
      </w:r>
      <w:r w:rsidRPr="00907800">
        <w:rPr>
          <w:sz w:val="24"/>
          <w:szCs w:val="24"/>
        </w:rPr>
        <w:t>a Guvernul aprobă ori transmite Parlamentului spre aprobare un set de măsuri menite a corecta această deviere;</w:t>
      </w:r>
    </w:p>
    <w:p w:rsidR="00506110" w:rsidRPr="00907800" w:rsidRDefault="00506110" w:rsidP="00506110">
      <w:pPr>
        <w:pStyle w:val="ListParagraph"/>
        <w:numPr>
          <w:ilvl w:val="0"/>
          <w:numId w:val="6"/>
        </w:numPr>
        <w:jc w:val="both"/>
        <w:rPr>
          <w:sz w:val="24"/>
          <w:szCs w:val="24"/>
        </w:rPr>
      </w:pPr>
      <w:r w:rsidRPr="00907800">
        <w:rPr>
          <w:sz w:val="24"/>
          <w:szCs w:val="24"/>
        </w:rPr>
        <w:t>Derogare de la art. 26 alin. 3,  conform căruia legea companion privind aprobarea limitelor specificate în cadrul fiscal-bugetar cuprinde obiectivul bugetar pe termen mediu, precum și calea de ajustare către acesta;</w:t>
      </w:r>
    </w:p>
    <w:p w:rsidR="00506110" w:rsidRPr="00907800" w:rsidRDefault="00506110" w:rsidP="00506110">
      <w:pPr>
        <w:pStyle w:val="ListParagraph"/>
        <w:numPr>
          <w:ilvl w:val="0"/>
          <w:numId w:val="6"/>
        </w:numPr>
        <w:jc w:val="both"/>
        <w:rPr>
          <w:sz w:val="24"/>
          <w:szCs w:val="24"/>
        </w:rPr>
      </w:pPr>
      <w:r w:rsidRPr="00907800">
        <w:rPr>
          <w:sz w:val="24"/>
          <w:szCs w:val="24"/>
        </w:rPr>
        <w:t xml:space="preserve">Derogare de la art. 29 alin 4, în sensul renunțării la obligația ca declarația de răspundere semnată de primul ministru și de ministrul finanțelor publice să ateste conformitatea SFB cu LRFB, </w:t>
      </w:r>
      <w:r w:rsidR="00EA582E">
        <w:rPr>
          <w:sz w:val="24"/>
          <w:szCs w:val="24"/>
        </w:rPr>
        <w:t>ț</w:t>
      </w:r>
      <w:r w:rsidRPr="00907800">
        <w:rPr>
          <w:sz w:val="24"/>
          <w:szCs w:val="24"/>
        </w:rPr>
        <w:t>intele sau limitele instituite de regulile fiscale și respectarea principiilor responsabilității fiscale</w:t>
      </w:r>
      <w:r w:rsidR="007C321E">
        <w:rPr>
          <w:sz w:val="24"/>
          <w:szCs w:val="24"/>
        </w:rPr>
        <w:t>;</w:t>
      </w:r>
    </w:p>
    <w:p w:rsidR="00506110" w:rsidRPr="00907800" w:rsidRDefault="00506110" w:rsidP="00506110">
      <w:pPr>
        <w:pStyle w:val="ListParagraph"/>
        <w:numPr>
          <w:ilvl w:val="0"/>
          <w:numId w:val="6"/>
        </w:numPr>
        <w:jc w:val="both"/>
        <w:rPr>
          <w:sz w:val="24"/>
          <w:szCs w:val="24"/>
        </w:rPr>
      </w:pPr>
      <w:r w:rsidRPr="00907800">
        <w:rPr>
          <w:sz w:val="24"/>
          <w:szCs w:val="24"/>
        </w:rPr>
        <w:t xml:space="preserve">Derogare de Art. 30 alin.4, care prevede obligația ca Guvernul să prezinte </w:t>
      </w:r>
      <w:r w:rsidR="007C321E">
        <w:rPr>
          <w:sz w:val="24"/>
          <w:szCs w:val="24"/>
        </w:rPr>
        <w:t>P</w:t>
      </w:r>
      <w:r w:rsidRPr="00907800">
        <w:rPr>
          <w:sz w:val="24"/>
          <w:szCs w:val="24"/>
        </w:rPr>
        <w:t xml:space="preserve">arlamentului unui buget anual care să respecte principiile </w:t>
      </w:r>
      <w:r w:rsidR="00122273" w:rsidRPr="00907800">
        <w:rPr>
          <w:sz w:val="24"/>
          <w:szCs w:val="24"/>
        </w:rPr>
        <w:t>responsabilității</w:t>
      </w:r>
      <w:r w:rsidRPr="00907800">
        <w:rPr>
          <w:sz w:val="24"/>
          <w:szCs w:val="24"/>
        </w:rPr>
        <w:t xml:space="preserve"> fiscale, regulile fiscale, strategia fiscal-bugetară şi orice alte prevederi ale LRFB</w:t>
      </w:r>
      <w:r w:rsidR="007C321E">
        <w:rPr>
          <w:sz w:val="24"/>
          <w:szCs w:val="24"/>
        </w:rPr>
        <w:t>;</w:t>
      </w:r>
      <w:r w:rsidRPr="00907800">
        <w:rPr>
          <w:sz w:val="24"/>
          <w:szCs w:val="24"/>
        </w:rPr>
        <w:t xml:space="preserve"> </w:t>
      </w:r>
    </w:p>
    <w:p w:rsidR="00506110" w:rsidRPr="00907800" w:rsidRDefault="00506110" w:rsidP="00506110">
      <w:pPr>
        <w:pStyle w:val="ListParagraph"/>
        <w:numPr>
          <w:ilvl w:val="0"/>
          <w:numId w:val="6"/>
        </w:numPr>
        <w:jc w:val="both"/>
        <w:rPr>
          <w:sz w:val="24"/>
          <w:szCs w:val="24"/>
        </w:rPr>
      </w:pPr>
      <w:r w:rsidRPr="00907800">
        <w:rPr>
          <w:sz w:val="24"/>
          <w:szCs w:val="24"/>
        </w:rPr>
        <w:t xml:space="preserve">Derogare de la art. 30 alin.5, ce prevede că în lipsa condițiilor de conformitate prevăzute la alineatul anterior, declarația ar trebui să menționeze abaterile, precum </w:t>
      </w:r>
      <w:r w:rsidRPr="00907800">
        <w:rPr>
          <w:sz w:val="24"/>
          <w:szCs w:val="24"/>
        </w:rPr>
        <w:lastRenderedPageBreak/>
        <w:t>și măsurile și termenele până la care Guvernul va asigura conformitatea cu  principiile responsabilității fiscale, regulile fiscale și strategia fiscal-bugetară.</w:t>
      </w:r>
    </w:p>
    <w:p w:rsidR="00DA5280" w:rsidRPr="00907800" w:rsidRDefault="00506110" w:rsidP="000E0B95">
      <w:pPr>
        <w:jc w:val="both"/>
        <w:rPr>
          <w:sz w:val="24"/>
          <w:szCs w:val="24"/>
        </w:rPr>
      </w:pPr>
      <w:r w:rsidRPr="00907800">
        <w:rPr>
          <w:sz w:val="24"/>
          <w:szCs w:val="24"/>
        </w:rPr>
        <w:t xml:space="preserve">Mai mult, potrivit prevederii art. 26 alineatul (1) din LRFB, până la data de 31 iulie a fiecărui an, Ministerul Finanțelor Publice (MFP) are obligația de a înainta Guvernului </w:t>
      </w:r>
      <w:bookmarkStart w:id="0" w:name="_GoBack"/>
      <w:r w:rsidRPr="00907800">
        <w:rPr>
          <w:sz w:val="24"/>
          <w:szCs w:val="24"/>
        </w:rPr>
        <w:t>strategia fiscal-bugetară pentru următorii 3 ani</w:t>
      </w:r>
      <w:bookmarkEnd w:id="0"/>
      <w:r w:rsidRPr="00907800">
        <w:rPr>
          <w:sz w:val="24"/>
          <w:szCs w:val="24"/>
        </w:rPr>
        <w:t xml:space="preserve"> însoțită de proiectul legii pentru aprobarea plafoanelor specificate în cadrul fiscal-bugetar. </w:t>
      </w:r>
      <w:r w:rsidR="00DA5280" w:rsidRPr="00907800">
        <w:rPr>
          <w:sz w:val="24"/>
          <w:szCs w:val="24"/>
        </w:rPr>
        <w:t xml:space="preserve">Din nou, </w:t>
      </w:r>
      <w:r w:rsidRPr="00907800">
        <w:rPr>
          <w:sz w:val="24"/>
          <w:szCs w:val="24"/>
        </w:rPr>
        <w:t xml:space="preserve">Strategia fiscal-bugetară a fost elaborată și făcută publică </w:t>
      </w:r>
      <w:r w:rsidR="00DA5280" w:rsidRPr="00907800">
        <w:rPr>
          <w:sz w:val="24"/>
          <w:szCs w:val="24"/>
        </w:rPr>
        <w:t xml:space="preserve">nu la termenul stabilit prin lege, ci </w:t>
      </w:r>
      <w:r w:rsidRPr="00907800">
        <w:rPr>
          <w:sz w:val="24"/>
          <w:szCs w:val="24"/>
        </w:rPr>
        <w:t>concomitent cu p</w:t>
      </w:r>
      <w:r w:rsidR="00DA5280" w:rsidRPr="00907800">
        <w:rPr>
          <w:sz w:val="24"/>
          <w:szCs w:val="24"/>
        </w:rPr>
        <w:t>roiectul de buget</w:t>
      </w:r>
      <w:r w:rsidRPr="00907800">
        <w:rPr>
          <w:sz w:val="24"/>
          <w:szCs w:val="24"/>
        </w:rPr>
        <w:t xml:space="preserve">, </w:t>
      </w:r>
      <w:r w:rsidR="00DA5280" w:rsidRPr="00907800">
        <w:rPr>
          <w:sz w:val="24"/>
          <w:szCs w:val="24"/>
        </w:rPr>
        <w:t xml:space="preserve">o situație ce se perpetuează în mod constant în ultimii 5 ani. În aceste condiții, monitorizarea respectării </w:t>
      </w:r>
      <w:r w:rsidR="00DA5280" w:rsidRPr="00907800">
        <w:rPr>
          <w:i/>
          <w:sz w:val="24"/>
          <w:szCs w:val="24"/>
        </w:rPr>
        <w:t>ex-ante</w:t>
      </w:r>
      <w:r w:rsidR="00DA5280" w:rsidRPr="00907800">
        <w:rPr>
          <w:sz w:val="24"/>
          <w:szCs w:val="24"/>
        </w:rPr>
        <w:t xml:space="preserve"> a regulilor cu privire la încadrarea în limitele stabilite pentru indicatorii bugetari prevăzuți prin Legea plafoanelor devine irelevantă (cadrul fiscal-bugetar fiind identic pentru anul 2019 în cele două documente sus-menționate), iar rolul de orientare pe care o strategie fiscal-bugetară pe termen mediu trebuie să îl aibă pentru buget</w:t>
      </w:r>
      <w:r w:rsidR="00773F2D" w:rsidRPr="00907800">
        <w:rPr>
          <w:sz w:val="24"/>
          <w:szCs w:val="24"/>
        </w:rPr>
        <w:t xml:space="preserve"> este subminat, politica fiscal-bugetară rămân</w:t>
      </w:r>
      <w:r w:rsidR="00122273">
        <w:rPr>
          <w:sz w:val="24"/>
          <w:szCs w:val="24"/>
        </w:rPr>
        <w:t>ân</w:t>
      </w:r>
      <w:r w:rsidR="00773F2D" w:rsidRPr="00907800">
        <w:rPr>
          <w:sz w:val="24"/>
          <w:szCs w:val="24"/>
        </w:rPr>
        <w:t xml:space="preserve">d </w:t>
      </w:r>
      <w:r w:rsidR="00035ADA" w:rsidRPr="00907800">
        <w:rPr>
          <w:sz w:val="24"/>
          <w:szCs w:val="24"/>
        </w:rPr>
        <w:t>tributară unor obiective pe termen scurt.</w:t>
      </w:r>
      <w:r w:rsidR="00773F2D" w:rsidRPr="00907800">
        <w:rPr>
          <w:sz w:val="24"/>
          <w:szCs w:val="24"/>
        </w:rPr>
        <w:t xml:space="preserve"> </w:t>
      </w:r>
    </w:p>
    <w:p w:rsidR="00EC0E47" w:rsidRPr="007C321E" w:rsidRDefault="00EC0E47" w:rsidP="00EC0E47">
      <w:pPr>
        <w:jc w:val="both"/>
        <w:rPr>
          <w:b/>
          <w:i/>
          <w:color w:val="000000" w:themeColor="text1"/>
          <w:sz w:val="24"/>
          <w:szCs w:val="24"/>
        </w:rPr>
      </w:pPr>
      <w:r w:rsidRPr="007C321E">
        <w:rPr>
          <w:b/>
          <w:i/>
          <w:color w:val="000000" w:themeColor="text1"/>
          <w:sz w:val="24"/>
          <w:szCs w:val="24"/>
        </w:rPr>
        <w:t xml:space="preserve">Bugetul general consolidat in 2019 – probleme </w:t>
      </w:r>
      <w:r w:rsidR="00122273" w:rsidRPr="007C321E">
        <w:rPr>
          <w:b/>
          <w:i/>
          <w:color w:val="000000" w:themeColor="text1"/>
          <w:sz w:val="24"/>
          <w:szCs w:val="24"/>
        </w:rPr>
        <w:t>ș</w:t>
      </w:r>
      <w:r w:rsidRPr="007C321E">
        <w:rPr>
          <w:b/>
          <w:i/>
          <w:color w:val="000000" w:themeColor="text1"/>
          <w:sz w:val="24"/>
          <w:szCs w:val="24"/>
        </w:rPr>
        <w:t>i riscuri</w:t>
      </w:r>
    </w:p>
    <w:p w:rsidR="00773F2D" w:rsidRPr="00907800" w:rsidRDefault="0025207A" w:rsidP="00C77F45">
      <w:pPr>
        <w:widowControl w:val="0"/>
        <w:autoSpaceDE w:val="0"/>
        <w:autoSpaceDN w:val="0"/>
        <w:adjustRightInd w:val="0"/>
        <w:spacing w:after="240" w:line="315" w:lineRule="atLeast"/>
        <w:jc w:val="both"/>
        <w:rPr>
          <w:rFonts w:cstheme="minorHAnsi"/>
          <w:sz w:val="24"/>
          <w:szCs w:val="24"/>
        </w:rPr>
      </w:pPr>
      <w:r w:rsidRPr="00907800">
        <w:rPr>
          <w:rFonts w:cstheme="minorHAnsi"/>
          <w:sz w:val="24"/>
          <w:szCs w:val="24"/>
        </w:rPr>
        <w:t xml:space="preserve">Un prim aspect problematic îl reprezintă scenariul </w:t>
      </w:r>
      <w:r w:rsidR="00773F2D" w:rsidRPr="00907800">
        <w:rPr>
          <w:rFonts w:cstheme="minorHAnsi"/>
          <w:sz w:val="24"/>
          <w:szCs w:val="24"/>
        </w:rPr>
        <w:t>de creștere economică</w:t>
      </w:r>
      <w:r w:rsidRPr="00907800">
        <w:rPr>
          <w:rFonts w:cstheme="minorHAnsi"/>
          <w:sz w:val="24"/>
          <w:szCs w:val="24"/>
        </w:rPr>
        <w:t xml:space="preserve"> ce fundamentează construcția bugetară, acesta apărând drept excesiv de optimist în raport cu evaluările similare ale altor instituții, mai ales în contextul încetinirii preconizate a economiei zonei euro</w:t>
      </w:r>
      <w:r w:rsidR="0040288A" w:rsidRPr="00907800">
        <w:rPr>
          <w:rFonts w:cstheme="minorHAnsi"/>
          <w:sz w:val="24"/>
          <w:szCs w:val="24"/>
        </w:rPr>
        <w:t xml:space="preserve"> (ultimele date </w:t>
      </w:r>
      <w:r w:rsidR="00181FC8" w:rsidRPr="00907800">
        <w:rPr>
          <w:rFonts w:cstheme="minorHAnsi"/>
          <w:sz w:val="24"/>
          <w:szCs w:val="24"/>
        </w:rPr>
        <w:t xml:space="preserve">disponibile </w:t>
      </w:r>
      <w:r w:rsidR="0040288A" w:rsidRPr="00907800">
        <w:rPr>
          <w:rFonts w:cstheme="minorHAnsi"/>
          <w:sz w:val="24"/>
          <w:szCs w:val="24"/>
        </w:rPr>
        <w:t xml:space="preserve">indicând că balanța riscurilor este înclinată înspre o încetinire mai rapidă decât se anticipa) </w:t>
      </w:r>
      <w:r w:rsidR="00D860F3" w:rsidRPr="00907800">
        <w:rPr>
          <w:rFonts w:cstheme="minorHAnsi"/>
          <w:sz w:val="24"/>
          <w:szCs w:val="24"/>
        </w:rPr>
        <w:t>și probabilității în creștere de încheiere a fazei expansioniste a ciclului economic la nivel global. În plus, adoptarea intempestivă a unor măsuri fiscale (prin OUG nr. 114/2018), cu i</w:t>
      </w:r>
      <w:r w:rsidR="00122273">
        <w:rPr>
          <w:rFonts w:cstheme="minorHAnsi"/>
          <w:sz w:val="24"/>
          <w:szCs w:val="24"/>
        </w:rPr>
        <w:t>m</w:t>
      </w:r>
      <w:r w:rsidR="00D860F3" w:rsidRPr="00907800">
        <w:rPr>
          <w:rFonts w:cstheme="minorHAnsi"/>
          <w:sz w:val="24"/>
          <w:szCs w:val="24"/>
        </w:rPr>
        <w:t xml:space="preserve">pact negativ asupra economiei </w:t>
      </w:r>
      <w:r w:rsidR="007C321E">
        <w:rPr>
          <w:rFonts w:cstheme="minorHAnsi"/>
          <w:sz w:val="24"/>
          <w:szCs w:val="24"/>
        </w:rPr>
        <w:t xml:space="preserve">(precum </w:t>
      </w:r>
      <w:r w:rsidR="00D860F3" w:rsidRPr="00907800">
        <w:rPr>
          <w:rFonts w:cstheme="minorHAnsi"/>
          <w:sz w:val="24"/>
          <w:szCs w:val="24"/>
        </w:rPr>
        <w:t>introducerea taxei pe activele bancare și taxarea suplimentară din sectoarele energetic și comunicații</w:t>
      </w:r>
      <w:r w:rsidR="007C321E">
        <w:rPr>
          <w:rFonts w:cstheme="minorHAnsi"/>
          <w:sz w:val="24"/>
          <w:szCs w:val="24"/>
        </w:rPr>
        <w:t>), este</w:t>
      </w:r>
      <w:r w:rsidR="00D860F3" w:rsidRPr="00907800">
        <w:rPr>
          <w:rFonts w:cstheme="minorHAnsi"/>
          <w:sz w:val="24"/>
          <w:szCs w:val="24"/>
        </w:rPr>
        <w:t xml:space="preserve"> de natură să amplifice riscurile externe mai sus menționate. </w:t>
      </w:r>
      <w:r w:rsidR="00290DA2" w:rsidRPr="00907800">
        <w:rPr>
          <w:rFonts w:cstheme="minorHAnsi"/>
          <w:sz w:val="24"/>
          <w:szCs w:val="24"/>
        </w:rPr>
        <w:t>În acest context, menținerea ipotezei de accelerare a creșterii economice</w:t>
      </w:r>
      <w:r w:rsidR="00D860F3" w:rsidRPr="00907800">
        <w:rPr>
          <w:rFonts w:cstheme="minorHAnsi"/>
          <w:sz w:val="24"/>
          <w:szCs w:val="24"/>
        </w:rPr>
        <w:t xml:space="preserve"> reale</w:t>
      </w:r>
      <w:r w:rsidR="00290DA2" w:rsidRPr="00907800">
        <w:rPr>
          <w:rFonts w:cstheme="minorHAnsi"/>
          <w:sz w:val="24"/>
          <w:szCs w:val="24"/>
        </w:rPr>
        <w:t xml:space="preserve"> la 5,5% în 2019 (comparativ cu un nivel situat probabil între 4 și 4,5% în 2018) în varianta de proiecție</w:t>
      </w:r>
      <w:r w:rsidR="00CC18A1" w:rsidRPr="00907800">
        <w:rPr>
          <w:rFonts w:cstheme="minorHAnsi"/>
          <w:sz w:val="24"/>
          <w:szCs w:val="24"/>
        </w:rPr>
        <w:t xml:space="preserve"> a cadrului macroeconomic</w:t>
      </w:r>
      <w:r w:rsidR="00290DA2" w:rsidRPr="00907800">
        <w:rPr>
          <w:rFonts w:cstheme="minorHAnsi"/>
          <w:sz w:val="24"/>
          <w:szCs w:val="24"/>
        </w:rPr>
        <w:t xml:space="preserve"> </w:t>
      </w:r>
      <w:r w:rsidR="00CC18A1" w:rsidRPr="00907800">
        <w:rPr>
          <w:rFonts w:cstheme="minorHAnsi"/>
          <w:sz w:val="24"/>
          <w:szCs w:val="24"/>
        </w:rPr>
        <w:t>elaborată ulterior</w:t>
      </w:r>
      <w:r w:rsidR="00290DA2" w:rsidRPr="00907800">
        <w:rPr>
          <w:rFonts w:cstheme="minorHAnsi"/>
          <w:sz w:val="24"/>
          <w:szCs w:val="24"/>
        </w:rPr>
        <w:t xml:space="preserve"> </w:t>
      </w:r>
      <w:r w:rsidR="00CC18A1" w:rsidRPr="00907800">
        <w:rPr>
          <w:rFonts w:cstheme="minorHAnsi"/>
          <w:sz w:val="24"/>
          <w:szCs w:val="24"/>
        </w:rPr>
        <w:t xml:space="preserve">adoptării </w:t>
      </w:r>
      <w:r w:rsidR="00290DA2" w:rsidRPr="00907800">
        <w:rPr>
          <w:rFonts w:cstheme="minorHAnsi"/>
          <w:sz w:val="24"/>
          <w:szCs w:val="24"/>
        </w:rPr>
        <w:t xml:space="preserve">OUG </w:t>
      </w:r>
      <w:r w:rsidR="00CC18A1" w:rsidRPr="00907800">
        <w:rPr>
          <w:rFonts w:cstheme="minorHAnsi"/>
          <w:sz w:val="24"/>
          <w:szCs w:val="24"/>
        </w:rPr>
        <w:t>nr.</w:t>
      </w:r>
      <w:r w:rsidR="00290DA2" w:rsidRPr="00907800">
        <w:rPr>
          <w:rFonts w:cstheme="minorHAnsi"/>
          <w:sz w:val="24"/>
          <w:szCs w:val="24"/>
        </w:rPr>
        <w:t>114/2018 apare drept surprinzătoare</w:t>
      </w:r>
      <w:r w:rsidR="00D860F3" w:rsidRPr="00907800">
        <w:rPr>
          <w:rFonts w:cstheme="minorHAnsi"/>
          <w:sz w:val="24"/>
          <w:szCs w:val="24"/>
        </w:rPr>
        <w:t xml:space="preserve"> și</w:t>
      </w:r>
      <w:r w:rsidR="007C321E">
        <w:rPr>
          <w:rFonts w:cstheme="minorHAnsi"/>
          <w:sz w:val="24"/>
          <w:szCs w:val="24"/>
        </w:rPr>
        <w:t>, în opinia Consiliului fiscal,</w:t>
      </w:r>
      <w:r w:rsidR="00D860F3" w:rsidRPr="00907800">
        <w:rPr>
          <w:rFonts w:cstheme="minorHAnsi"/>
          <w:sz w:val="24"/>
          <w:szCs w:val="24"/>
        </w:rPr>
        <w:t xml:space="preserve"> </w:t>
      </w:r>
      <w:r w:rsidR="007C321E">
        <w:rPr>
          <w:rFonts w:cstheme="minorHAnsi"/>
          <w:sz w:val="24"/>
          <w:szCs w:val="24"/>
        </w:rPr>
        <w:t>nejustificată</w:t>
      </w:r>
      <w:r w:rsidR="00290DA2" w:rsidRPr="00907800">
        <w:rPr>
          <w:rFonts w:cstheme="minorHAnsi"/>
          <w:sz w:val="24"/>
          <w:szCs w:val="24"/>
        </w:rPr>
        <w:t xml:space="preserve">. </w:t>
      </w:r>
      <w:r w:rsidR="00D860F3" w:rsidRPr="00907800">
        <w:rPr>
          <w:rFonts w:cstheme="minorHAnsi"/>
          <w:sz w:val="24"/>
          <w:szCs w:val="24"/>
        </w:rPr>
        <w:t>Cu toate acestea</w:t>
      </w:r>
      <w:r w:rsidR="00CC18A1" w:rsidRPr="00907800">
        <w:rPr>
          <w:rFonts w:cstheme="minorHAnsi"/>
          <w:sz w:val="24"/>
          <w:szCs w:val="24"/>
        </w:rPr>
        <w:t xml:space="preserve">, dinamica </w:t>
      </w:r>
      <w:r w:rsidR="00C962E9">
        <w:rPr>
          <w:rFonts w:cstheme="minorHAnsi"/>
          <w:sz w:val="24"/>
          <w:szCs w:val="24"/>
        </w:rPr>
        <w:t>estimat</w:t>
      </w:r>
      <w:r w:rsidR="007C321E">
        <w:rPr>
          <w:rFonts w:cstheme="minorHAnsi"/>
          <w:sz w:val="24"/>
          <w:szCs w:val="24"/>
        </w:rPr>
        <w:t>ă</w:t>
      </w:r>
      <w:r w:rsidR="00C962E9">
        <w:rPr>
          <w:rFonts w:cstheme="minorHAnsi"/>
          <w:sz w:val="24"/>
          <w:szCs w:val="24"/>
        </w:rPr>
        <w:t xml:space="preserve"> </w:t>
      </w:r>
      <w:r w:rsidR="007C321E">
        <w:rPr>
          <w:rFonts w:cstheme="minorHAnsi"/>
          <w:sz w:val="24"/>
          <w:szCs w:val="24"/>
        </w:rPr>
        <w:t>a</w:t>
      </w:r>
      <w:r w:rsidR="00C962E9">
        <w:rPr>
          <w:rFonts w:cstheme="minorHAnsi"/>
          <w:sz w:val="24"/>
          <w:szCs w:val="24"/>
        </w:rPr>
        <w:t xml:space="preserve"> </w:t>
      </w:r>
      <w:r w:rsidR="00CC18A1" w:rsidRPr="00907800">
        <w:rPr>
          <w:rFonts w:cstheme="minorHAnsi"/>
          <w:sz w:val="24"/>
          <w:szCs w:val="24"/>
        </w:rPr>
        <w:t>deflatorilor în 2019 comparativ cu anul anterior (pentru PIB și consum privat) este probabil subdimensionată, existând spațiu ca nivelul variabilelor nominale ale cadrului macroeconomic (relevante din perspectiva veniturilor fiscale cu excepția accizelor) să poată acomoda</w:t>
      </w:r>
      <w:r w:rsidR="00D860F3" w:rsidRPr="00907800">
        <w:rPr>
          <w:rFonts w:cstheme="minorHAnsi"/>
          <w:sz w:val="24"/>
          <w:szCs w:val="24"/>
        </w:rPr>
        <w:t>, cel puțin parțial, o</w:t>
      </w:r>
      <w:r w:rsidR="00CC18A1" w:rsidRPr="00907800">
        <w:rPr>
          <w:rFonts w:cstheme="minorHAnsi"/>
          <w:sz w:val="24"/>
          <w:szCs w:val="24"/>
        </w:rPr>
        <w:t xml:space="preserve"> situare</w:t>
      </w:r>
      <w:r w:rsidR="00D860F3" w:rsidRPr="00907800">
        <w:rPr>
          <w:rFonts w:cstheme="minorHAnsi"/>
          <w:sz w:val="24"/>
          <w:szCs w:val="24"/>
        </w:rPr>
        <w:t xml:space="preserve"> </w:t>
      </w:r>
      <w:r w:rsidR="00CC18A1" w:rsidRPr="00907800">
        <w:rPr>
          <w:rFonts w:cstheme="minorHAnsi"/>
          <w:sz w:val="24"/>
          <w:szCs w:val="24"/>
        </w:rPr>
        <w:t xml:space="preserve">a variabilelor reale pe un palier semnificativ inferior de creștere. </w:t>
      </w:r>
    </w:p>
    <w:p w:rsidR="00801908" w:rsidRDefault="00CC18A1" w:rsidP="00311BA0">
      <w:pPr>
        <w:widowControl w:val="0"/>
        <w:autoSpaceDE w:val="0"/>
        <w:autoSpaceDN w:val="0"/>
        <w:adjustRightInd w:val="0"/>
        <w:spacing w:after="240" w:line="315" w:lineRule="atLeast"/>
        <w:jc w:val="both"/>
        <w:rPr>
          <w:rFonts w:cstheme="minorHAnsi"/>
          <w:sz w:val="24"/>
          <w:szCs w:val="24"/>
        </w:rPr>
      </w:pPr>
      <w:r w:rsidRPr="00907800">
        <w:rPr>
          <w:rFonts w:cstheme="minorHAnsi"/>
          <w:sz w:val="24"/>
          <w:szCs w:val="24"/>
        </w:rPr>
        <w:t>Un al</w:t>
      </w:r>
      <w:r w:rsidR="001B3121" w:rsidRPr="00907800">
        <w:rPr>
          <w:rFonts w:cstheme="minorHAnsi"/>
          <w:sz w:val="24"/>
          <w:szCs w:val="24"/>
        </w:rPr>
        <w:t xml:space="preserve">t aspect problematic îl reprezintă, în opinia Consiliului fiscal, ipotezele extrem de favorabile cu privire la dinamica </w:t>
      </w:r>
      <w:r w:rsidR="00320E34" w:rsidRPr="00907800">
        <w:rPr>
          <w:rFonts w:cstheme="minorHAnsi"/>
          <w:sz w:val="24"/>
          <w:szCs w:val="24"/>
        </w:rPr>
        <w:t xml:space="preserve">numărului de angajați și </w:t>
      </w:r>
      <w:r w:rsidR="001B3121" w:rsidRPr="00907800">
        <w:rPr>
          <w:rFonts w:cstheme="minorHAnsi"/>
          <w:sz w:val="24"/>
          <w:szCs w:val="24"/>
        </w:rPr>
        <w:t>c</w:t>
      </w:r>
      <w:r w:rsidR="00122273">
        <w:rPr>
          <w:rFonts w:cstheme="minorHAnsi"/>
          <w:sz w:val="24"/>
          <w:szCs w:val="24"/>
        </w:rPr>
        <w:t>â</w:t>
      </w:r>
      <w:r w:rsidR="001B3121" w:rsidRPr="00907800">
        <w:rPr>
          <w:rFonts w:cstheme="minorHAnsi"/>
          <w:sz w:val="24"/>
          <w:szCs w:val="24"/>
        </w:rPr>
        <w:t xml:space="preserve">știgului salarial </w:t>
      </w:r>
      <w:r w:rsidR="004B749F" w:rsidRPr="00907800">
        <w:rPr>
          <w:rFonts w:cstheme="minorHAnsi"/>
          <w:sz w:val="24"/>
          <w:szCs w:val="24"/>
        </w:rPr>
        <w:t xml:space="preserve">brut </w:t>
      </w:r>
      <w:r w:rsidR="001B3121" w:rsidRPr="00907800">
        <w:rPr>
          <w:rFonts w:cstheme="minorHAnsi"/>
          <w:sz w:val="24"/>
          <w:szCs w:val="24"/>
        </w:rPr>
        <w:t>în sectorul concurențial</w:t>
      </w:r>
      <w:r w:rsidR="00D860F3" w:rsidRPr="00907800">
        <w:rPr>
          <w:rFonts w:cstheme="minorHAnsi"/>
          <w:sz w:val="24"/>
          <w:szCs w:val="24"/>
        </w:rPr>
        <w:t>,</w:t>
      </w:r>
      <w:r w:rsidR="001B3121" w:rsidRPr="00907800">
        <w:rPr>
          <w:rFonts w:cstheme="minorHAnsi"/>
          <w:sz w:val="24"/>
          <w:szCs w:val="24"/>
        </w:rPr>
        <w:t xml:space="preserve"> acestea </w:t>
      </w:r>
      <w:r w:rsidR="00D860F3" w:rsidRPr="00907800">
        <w:rPr>
          <w:rFonts w:cstheme="minorHAnsi"/>
          <w:sz w:val="24"/>
          <w:szCs w:val="24"/>
        </w:rPr>
        <w:t>fiind</w:t>
      </w:r>
      <w:r w:rsidR="001B3121" w:rsidRPr="00907800">
        <w:rPr>
          <w:rFonts w:cstheme="minorHAnsi"/>
          <w:sz w:val="24"/>
          <w:szCs w:val="24"/>
        </w:rPr>
        <w:t xml:space="preserve"> preconizate să crească în 2019</w:t>
      </w:r>
      <w:r w:rsidR="004B749F" w:rsidRPr="00907800">
        <w:rPr>
          <w:rFonts w:cstheme="minorHAnsi"/>
          <w:sz w:val="24"/>
          <w:szCs w:val="24"/>
        </w:rPr>
        <w:t xml:space="preserve"> cu </w:t>
      </w:r>
      <w:r w:rsidR="00320E34" w:rsidRPr="00907800">
        <w:rPr>
          <w:rFonts w:cstheme="minorHAnsi"/>
          <w:sz w:val="24"/>
          <w:szCs w:val="24"/>
        </w:rPr>
        <w:t xml:space="preserve">3,7%, respectiv </w:t>
      </w:r>
      <w:r w:rsidR="004B749F" w:rsidRPr="00907800">
        <w:rPr>
          <w:rFonts w:cstheme="minorHAnsi"/>
          <w:sz w:val="24"/>
          <w:szCs w:val="24"/>
        </w:rPr>
        <w:t>13,8%</w:t>
      </w:r>
      <w:r w:rsidR="00320E34" w:rsidRPr="00907800">
        <w:rPr>
          <w:rFonts w:cstheme="minorHAnsi"/>
          <w:sz w:val="24"/>
          <w:szCs w:val="24"/>
        </w:rPr>
        <w:t>.</w:t>
      </w:r>
      <w:r w:rsidR="00D860F3" w:rsidRPr="00907800">
        <w:rPr>
          <w:rFonts w:cstheme="minorHAnsi"/>
          <w:sz w:val="24"/>
          <w:szCs w:val="24"/>
        </w:rPr>
        <w:t xml:space="preserve"> Datele lunare publicate de INS relevă un trend de încetinire vizibilă a </w:t>
      </w:r>
      <w:r w:rsidR="00320E34" w:rsidRPr="00907800">
        <w:rPr>
          <w:rFonts w:cstheme="minorHAnsi"/>
          <w:sz w:val="24"/>
          <w:szCs w:val="24"/>
        </w:rPr>
        <w:t>ritmului de creștere a</w:t>
      </w:r>
      <w:r w:rsidR="00D860F3" w:rsidRPr="00907800">
        <w:rPr>
          <w:rFonts w:cstheme="minorHAnsi"/>
          <w:sz w:val="24"/>
          <w:szCs w:val="24"/>
        </w:rPr>
        <w:t xml:space="preserve"> numărului d</w:t>
      </w:r>
      <w:r w:rsidR="00320E34" w:rsidRPr="00907800">
        <w:rPr>
          <w:rFonts w:cstheme="minorHAnsi"/>
          <w:sz w:val="24"/>
          <w:szCs w:val="24"/>
        </w:rPr>
        <w:t>e salariați din sectorul privat, de la 4% în 2016, la 3,2% în 2017 și 1,7% în perioada ianuarie-noiembrie 2018</w:t>
      </w:r>
      <w:r w:rsidR="0042040F">
        <w:rPr>
          <w:rFonts w:cstheme="minorHAnsi"/>
          <w:sz w:val="24"/>
          <w:szCs w:val="24"/>
        </w:rPr>
        <w:t xml:space="preserve">, </w:t>
      </w:r>
      <w:r w:rsidR="007C321E">
        <w:rPr>
          <w:rFonts w:cstheme="minorHAnsi"/>
          <w:sz w:val="24"/>
          <w:szCs w:val="24"/>
        </w:rPr>
        <w:t>î</w:t>
      </w:r>
      <w:r w:rsidR="0042040F">
        <w:rPr>
          <w:rFonts w:cstheme="minorHAnsi"/>
          <w:sz w:val="24"/>
          <w:szCs w:val="24"/>
        </w:rPr>
        <w:t>n acest context</w:t>
      </w:r>
      <w:r w:rsidR="00320E34" w:rsidRPr="00907800">
        <w:rPr>
          <w:rFonts w:cstheme="minorHAnsi"/>
          <w:sz w:val="24"/>
          <w:szCs w:val="24"/>
        </w:rPr>
        <w:t xml:space="preserve"> o accelerare la un ritm de creștere de 3,7% a numărului de salariați în sectorul concurențial </w:t>
      </w:r>
      <w:r w:rsidR="0042040F">
        <w:rPr>
          <w:rFonts w:cstheme="minorHAnsi"/>
          <w:sz w:val="24"/>
          <w:szCs w:val="24"/>
        </w:rPr>
        <w:t>apar</w:t>
      </w:r>
      <w:r w:rsidR="007C321E">
        <w:rPr>
          <w:rFonts w:cstheme="minorHAnsi"/>
          <w:sz w:val="24"/>
          <w:szCs w:val="24"/>
        </w:rPr>
        <w:t>â</w:t>
      </w:r>
      <w:r w:rsidR="0042040F">
        <w:rPr>
          <w:rFonts w:cstheme="minorHAnsi"/>
          <w:sz w:val="24"/>
          <w:szCs w:val="24"/>
        </w:rPr>
        <w:t>nd</w:t>
      </w:r>
      <w:r w:rsidR="0042040F" w:rsidRPr="00907800">
        <w:rPr>
          <w:rFonts w:cstheme="minorHAnsi"/>
          <w:sz w:val="24"/>
          <w:szCs w:val="24"/>
        </w:rPr>
        <w:t xml:space="preserve"> </w:t>
      </w:r>
      <w:r w:rsidR="00320E34" w:rsidRPr="00907800">
        <w:rPr>
          <w:rFonts w:cstheme="minorHAnsi"/>
          <w:sz w:val="24"/>
          <w:szCs w:val="24"/>
        </w:rPr>
        <w:t xml:space="preserve">drept neverosimilă. Un scenariu mai rezonabil (deși probabil </w:t>
      </w:r>
      <w:r w:rsidR="007C321E">
        <w:rPr>
          <w:rFonts w:cstheme="minorHAnsi"/>
          <w:sz w:val="24"/>
          <w:szCs w:val="24"/>
        </w:rPr>
        <w:t>încă</w:t>
      </w:r>
      <w:r w:rsidR="00117356">
        <w:rPr>
          <w:rFonts w:cstheme="minorHAnsi"/>
          <w:sz w:val="24"/>
          <w:szCs w:val="24"/>
        </w:rPr>
        <w:t xml:space="preserve"> </w:t>
      </w:r>
      <w:r w:rsidR="00320E34" w:rsidRPr="00907800">
        <w:rPr>
          <w:rFonts w:cstheme="minorHAnsi"/>
          <w:sz w:val="24"/>
          <w:szCs w:val="24"/>
        </w:rPr>
        <w:t>optimist) ar fi, în opinia Consiliului fiscal, situarea ritmului de creștere în proximitatea cifrei aparente la nivelul anului anterior (1,5%-1,7%)</w:t>
      </w:r>
      <w:r w:rsidR="006C3ED7" w:rsidRPr="00907800">
        <w:rPr>
          <w:rFonts w:cstheme="minorHAnsi"/>
          <w:sz w:val="24"/>
          <w:szCs w:val="24"/>
        </w:rPr>
        <w:t xml:space="preserve">, </w:t>
      </w:r>
      <w:r w:rsidR="006C3ED7" w:rsidRPr="00907800">
        <w:rPr>
          <w:rFonts w:cstheme="minorHAnsi"/>
          <w:sz w:val="24"/>
          <w:szCs w:val="24"/>
        </w:rPr>
        <w:lastRenderedPageBreak/>
        <w:t>ceea ce ar genera o deviație de circa 2 pp. la nivelul ratei de creștere comparativ cu proiecția CN</w:t>
      </w:r>
      <w:r w:rsidR="00117356">
        <w:rPr>
          <w:rFonts w:cstheme="minorHAnsi"/>
          <w:sz w:val="24"/>
          <w:szCs w:val="24"/>
        </w:rPr>
        <w:t>S</w:t>
      </w:r>
      <w:r w:rsidR="006C3ED7" w:rsidRPr="00907800">
        <w:rPr>
          <w:rFonts w:cstheme="minorHAnsi"/>
          <w:sz w:val="24"/>
          <w:szCs w:val="24"/>
        </w:rPr>
        <w:t>P</w:t>
      </w:r>
      <w:r w:rsidR="00320E34" w:rsidRPr="00907800">
        <w:rPr>
          <w:rFonts w:cstheme="minorHAnsi"/>
          <w:sz w:val="24"/>
          <w:szCs w:val="24"/>
        </w:rPr>
        <w:t>. Ritmul</w:t>
      </w:r>
      <w:r w:rsidR="006C3ED7" w:rsidRPr="00907800">
        <w:rPr>
          <w:rFonts w:cstheme="minorHAnsi"/>
          <w:sz w:val="24"/>
          <w:szCs w:val="24"/>
        </w:rPr>
        <w:t xml:space="preserve"> anual de creștere al salariului brut din sectorul privat avut în vedere apare drept semnificativ superior evoluției din ultimii trei ani (10,7% în 2016, 12% în 2017, respectiv circa 11.2% în ianuarie-noiembrie 2018</w:t>
      </w:r>
      <w:r w:rsidR="006C3ED7" w:rsidRPr="00907800">
        <w:rPr>
          <w:rStyle w:val="FootnoteReference"/>
          <w:rFonts w:cstheme="minorHAnsi"/>
          <w:sz w:val="24"/>
          <w:szCs w:val="24"/>
        </w:rPr>
        <w:footnoteReference w:id="3"/>
      </w:r>
      <w:r w:rsidR="007C321E">
        <w:rPr>
          <w:rFonts w:cstheme="minorHAnsi"/>
          <w:sz w:val="24"/>
          <w:szCs w:val="24"/>
        </w:rPr>
        <w:t>)</w:t>
      </w:r>
      <w:r w:rsidR="00CD711B">
        <w:rPr>
          <w:rFonts w:cstheme="minorHAnsi"/>
          <w:sz w:val="24"/>
          <w:szCs w:val="24"/>
        </w:rPr>
        <w:t>.</w:t>
      </w:r>
      <w:r w:rsidR="007C321E">
        <w:rPr>
          <w:rFonts w:cstheme="minorHAnsi"/>
          <w:sz w:val="24"/>
          <w:szCs w:val="24"/>
        </w:rPr>
        <w:t xml:space="preserve"> Î</w:t>
      </w:r>
      <w:r w:rsidR="00CD711B">
        <w:rPr>
          <w:rFonts w:cstheme="minorHAnsi"/>
          <w:sz w:val="24"/>
          <w:szCs w:val="24"/>
        </w:rPr>
        <w:t>n acest context,</w:t>
      </w:r>
      <w:r w:rsidR="006C3ED7" w:rsidRPr="00907800">
        <w:rPr>
          <w:rFonts w:cstheme="minorHAnsi"/>
          <w:sz w:val="24"/>
          <w:szCs w:val="24"/>
        </w:rPr>
        <w:t xml:space="preserve"> un scenariu care ar viza un ritm de creștere a salariului brut la maximul post-criză de 12% (din nou, o ipoteză optimistă) ar implica o deviație de </w:t>
      </w:r>
      <w:r w:rsidR="007C321E">
        <w:rPr>
          <w:rFonts w:cstheme="minorHAnsi"/>
          <w:sz w:val="24"/>
          <w:szCs w:val="24"/>
        </w:rPr>
        <w:t xml:space="preserve">la </w:t>
      </w:r>
      <w:r w:rsidR="006C3ED7" w:rsidRPr="00907800">
        <w:rPr>
          <w:rFonts w:cstheme="minorHAnsi"/>
          <w:sz w:val="24"/>
          <w:szCs w:val="24"/>
        </w:rPr>
        <w:t>ritm</w:t>
      </w:r>
      <w:r w:rsidR="007C321E">
        <w:rPr>
          <w:rFonts w:cstheme="minorHAnsi"/>
          <w:sz w:val="24"/>
          <w:szCs w:val="24"/>
        </w:rPr>
        <w:t>ul</w:t>
      </w:r>
      <w:r w:rsidR="006C3ED7" w:rsidRPr="00907800">
        <w:rPr>
          <w:rFonts w:cstheme="minorHAnsi"/>
          <w:sz w:val="24"/>
          <w:szCs w:val="24"/>
        </w:rPr>
        <w:t xml:space="preserve"> de creștere a salariului brut în sectorul concurențial </w:t>
      </w:r>
      <w:r w:rsidR="007C321E">
        <w:rPr>
          <w:rFonts w:cstheme="minorHAnsi"/>
          <w:sz w:val="24"/>
          <w:szCs w:val="24"/>
        </w:rPr>
        <w:t>din</w:t>
      </w:r>
      <w:r w:rsidR="00CD711B">
        <w:rPr>
          <w:rFonts w:cstheme="minorHAnsi"/>
          <w:sz w:val="24"/>
          <w:szCs w:val="24"/>
        </w:rPr>
        <w:t xml:space="preserve"> </w:t>
      </w:r>
      <w:r w:rsidR="007C321E">
        <w:rPr>
          <w:rFonts w:cstheme="minorHAnsi"/>
          <w:sz w:val="24"/>
          <w:szCs w:val="24"/>
        </w:rPr>
        <w:t>proiecția CNSP de circa 1,8 pp</w:t>
      </w:r>
      <w:r w:rsidR="006C3ED7" w:rsidRPr="00907800">
        <w:rPr>
          <w:rFonts w:cstheme="minorHAnsi"/>
          <w:sz w:val="24"/>
          <w:szCs w:val="24"/>
        </w:rPr>
        <w:t xml:space="preserve">. </w:t>
      </w:r>
      <w:r w:rsidR="00311BA0" w:rsidRPr="00907800">
        <w:rPr>
          <w:rFonts w:cstheme="minorHAnsi"/>
          <w:sz w:val="24"/>
          <w:szCs w:val="24"/>
        </w:rPr>
        <w:t xml:space="preserve">De precizat că un ritm de creștere a anvelopei salariale din economie inferior cu 1 pp. scenariului </w:t>
      </w:r>
      <w:r w:rsidR="007C321E">
        <w:rPr>
          <w:rFonts w:cstheme="minorHAnsi"/>
          <w:sz w:val="24"/>
          <w:szCs w:val="24"/>
        </w:rPr>
        <w:t>luat î</w:t>
      </w:r>
      <w:r w:rsidR="00CD711B">
        <w:rPr>
          <w:rFonts w:cstheme="minorHAnsi"/>
          <w:sz w:val="24"/>
          <w:szCs w:val="24"/>
        </w:rPr>
        <w:t xml:space="preserve">n calcul </w:t>
      </w:r>
      <w:r w:rsidR="007C321E">
        <w:rPr>
          <w:rFonts w:cstheme="minorHAnsi"/>
          <w:sz w:val="24"/>
          <w:szCs w:val="24"/>
        </w:rPr>
        <w:t>în construcț</w:t>
      </w:r>
      <w:r w:rsidR="00CD711B">
        <w:rPr>
          <w:rFonts w:cstheme="minorHAnsi"/>
          <w:sz w:val="24"/>
          <w:szCs w:val="24"/>
        </w:rPr>
        <w:t>ia bugetar</w:t>
      </w:r>
      <w:r w:rsidR="007C321E">
        <w:rPr>
          <w:rFonts w:cstheme="minorHAnsi"/>
          <w:sz w:val="24"/>
          <w:szCs w:val="24"/>
        </w:rPr>
        <w:t>ă</w:t>
      </w:r>
      <w:r w:rsidR="00311BA0" w:rsidRPr="00907800">
        <w:rPr>
          <w:rFonts w:cstheme="minorHAnsi"/>
          <w:sz w:val="24"/>
          <w:szCs w:val="24"/>
        </w:rPr>
        <w:t xml:space="preserve"> duce, </w:t>
      </w:r>
      <w:r w:rsidR="00311BA0" w:rsidRPr="00907800">
        <w:rPr>
          <w:rFonts w:cstheme="minorHAnsi"/>
          <w:i/>
          <w:sz w:val="24"/>
          <w:szCs w:val="24"/>
        </w:rPr>
        <w:t>caeteris paribus</w:t>
      </w:r>
      <w:r w:rsidR="00311BA0" w:rsidRPr="00907800">
        <w:rPr>
          <w:rFonts w:cstheme="minorHAnsi"/>
          <w:sz w:val="24"/>
          <w:szCs w:val="24"/>
        </w:rPr>
        <w:t>, la un deficit mai mare cu 1,2 m</w:t>
      </w:r>
      <w:r w:rsidR="007C321E">
        <w:rPr>
          <w:rFonts w:cstheme="minorHAnsi"/>
          <w:sz w:val="24"/>
          <w:szCs w:val="24"/>
        </w:rPr>
        <w:t xml:space="preserve">ld. </w:t>
      </w:r>
      <w:r w:rsidR="00311BA0" w:rsidRPr="00907800">
        <w:rPr>
          <w:rFonts w:cstheme="minorHAnsi"/>
          <w:sz w:val="24"/>
          <w:szCs w:val="24"/>
        </w:rPr>
        <w:t xml:space="preserve">lei (0.115% din PIB), ca urmare a veniturilor mai mici din impozitul pe venit și mai ales din contribuții sociale, ceea ce indică o senzitivitate ridicată a agregatelor </w:t>
      </w:r>
      <w:r w:rsidR="007C321E">
        <w:rPr>
          <w:rFonts w:cstheme="minorHAnsi"/>
          <w:sz w:val="24"/>
          <w:szCs w:val="24"/>
        </w:rPr>
        <w:t>de venituri</w:t>
      </w:r>
      <w:r w:rsidR="00311BA0" w:rsidRPr="00907800">
        <w:rPr>
          <w:rFonts w:cstheme="minorHAnsi"/>
          <w:sz w:val="24"/>
          <w:szCs w:val="24"/>
        </w:rPr>
        <w:t xml:space="preserve"> la </w:t>
      </w:r>
      <w:r w:rsidR="007C321E">
        <w:rPr>
          <w:rFonts w:cstheme="minorHAnsi"/>
          <w:sz w:val="24"/>
          <w:szCs w:val="24"/>
        </w:rPr>
        <w:t xml:space="preserve">ipotezele privind </w:t>
      </w:r>
      <w:r w:rsidR="00311BA0" w:rsidRPr="00907800">
        <w:rPr>
          <w:rFonts w:cstheme="minorHAnsi"/>
          <w:sz w:val="24"/>
          <w:szCs w:val="24"/>
        </w:rPr>
        <w:t xml:space="preserve">dinamica pieței muncii. </w:t>
      </w:r>
    </w:p>
    <w:p w:rsidR="00311BA0" w:rsidRPr="00907800" w:rsidRDefault="00311BA0" w:rsidP="00311BA0">
      <w:pPr>
        <w:widowControl w:val="0"/>
        <w:autoSpaceDE w:val="0"/>
        <w:autoSpaceDN w:val="0"/>
        <w:adjustRightInd w:val="0"/>
        <w:spacing w:after="240" w:line="315" w:lineRule="atLeast"/>
        <w:jc w:val="both"/>
        <w:rPr>
          <w:rFonts w:cstheme="minorHAnsi"/>
          <w:sz w:val="24"/>
          <w:szCs w:val="24"/>
        </w:rPr>
      </w:pPr>
      <w:r w:rsidRPr="00907800">
        <w:rPr>
          <w:rFonts w:cstheme="minorHAnsi"/>
          <w:sz w:val="24"/>
          <w:szCs w:val="24"/>
        </w:rPr>
        <w:t>Date fiind cele de mai sus, apreciem că ipotezele cu privire la dinamicile variabilelor de piața muncii apar ca exce</w:t>
      </w:r>
      <w:r w:rsidR="007C321E">
        <w:rPr>
          <w:rFonts w:cstheme="minorHAnsi"/>
          <w:sz w:val="24"/>
          <w:szCs w:val="24"/>
        </w:rPr>
        <w:t>siv de favorabile și improbabil</w:t>
      </w:r>
      <w:r w:rsidRPr="00907800">
        <w:rPr>
          <w:rFonts w:cstheme="minorHAnsi"/>
          <w:sz w:val="24"/>
          <w:szCs w:val="24"/>
        </w:rPr>
        <w:t xml:space="preserve"> a se materializa la nivelurile preconizate. </w:t>
      </w:r>
      <w:r w:rsidR="00AF3D50" w:rsidRPr="00907800">
        <w:rPr>
          <w:rFonts w:cstheme="minorHAnsi"/>
          <w:sz w:val="24"/>
          <w:szCs w:val="24"/>
        </w:rPr>
        <w:t>De asemenea</w:t>
      </w:r>
      <w:r w:rsidRPr="00907800">
        <w:rPr>
          <w:rFonts w:cstheme="minorHAnsi"/>
          <w:sz w:val="24"/>
          <w:szCs w:val="24"/>
        </w:rPr>
        <w:t>, considerăm că a lua în calcul ipoteze excesiv de optimiste cu privire la evoluțiile de pe piața muncii intră în contradicție cu dezideratul unei gestiuni prudente a politicii fiscale (</w:t>
      </w:r>
      <w:r w:rsidR="00AF3D50" w:rsidRPr="00907800">
        <w:rPr>
          <w:rFonts w:cstheme="minorHAnsi"/>
          <w:sz w:val="24"/>
          <w:szCs w:val="24"/>
        </w:rPr>
        <w:t>consfințit de altfel de principiul responsabilității fiscale</w:t>
      </w:r>
      <w:r w:rsidRPr="00907800">
        <w:rPr>
          <w:rFonts w:cstheme="minorHAnsi"/>
          <w:sz w:val="24"/>
          <w:szCs w:val="24"/>
        </w:rPr>
        <w:t xml:space="preserve"> </w:t>
      </w:r>
      <w:r w:rsidR="00AF3D50" w:rsidRPr="00907800">
        <w:rPr>
          <w:rFonts w:cstheme="minorHAnsi"/>
          <w:sz w:val="24"/>
          <w:szCs w:val="24"/>
        </w:rPr>
        <w:t xml:space="preserve">din LRFB). Scenariile alternative </w:t>
      </w:r>
      <w:r w:rsidR="0039291F" w:rsidRPr="00907800">
        <w:rPr>
          <w:rFonts w:cstheme="minorHAnsi"/>
          <w:sz w:val="24"/>
          <w:szCs w:val="24"/>
        </w:rPr>
        <w:t xml:space="preserve">mai puțin favorabile </w:t>
      </w:r>
      <w:r w:rsidR="00AF3D50" w:rsidRPr="00907800">
        <w:rPr>
          <w:rFonts w:cstheme="minorHAnsi"/>
          <w:sz w:val="24"/>
          <w:szCs w:val="24"/>
        </w:rPr>
        <w:t>identificate</w:t>
      </w:r>
      <w:r w:rsidR="0039291F" w:rsidRPr="00907800">
        <w:rPr>
          <w:rFonts w:cstheme="minorHAnsi"/>
          <w:sz w:val="24"/>
          <w:szCs w:val="24"/>
        </w:rPr>
        <w:t xml:space="preserve"> mai sus, deși </w:t>
      </w:r>
      <w:r w:rsidR="007C321E">
        <w:rPr>
          <w:rFonts w:cstheme="minorHAnsi"/>
          <w:sz w:val="24"/>
          <w:szCs w:val="24"/>
        </w:rPr>
        <w:t>încă</w:t>
      </w:r>
      <w:r w:rsidR="00801908">
        <w:rPr>
          <w:rFonts w:cstheme="minorHAnsi"/>
          <w:sz w:val="24"/>
          <w:szCs w:val="24"/>
        </w:rPr>
        <w:t xml:space="preserve"> optimiste</w:t>
      </w:r>
      <w:r w:rsidR="0039291F" w:rsidRPr="00907800">
        <w:rPr>
          <w:rFonts w:cstheme="minorHAnsi"/>
          <w:sz w:val="24"/>
          <w:szCs w:val="24"/>
        </w:rPr>
        <w:t>,</w:t>
      </w:r>
      <w:r w:rsidR="00AF3D50" w:rsidRPr="00907800">
        <w:rPr>
          <w:rFonts w:cstheme="minorHAnsi"/>
          <w:sz w:val="24"/>
          <w:szCs w:val="24"/>
        </w:rPr>
        <w:t xml:space="preserve"> generează o di</w:t>
      </w:r>
      <w:r w:rsidR="00F84640">
        <w:rPr>
          <w:rFonts w:cstheme="minorHAnsi"/>
          <w:sz w:val="24"/>
          <w:szCs w:val="24"/>
        </w:rPr>
        <w:t>namică inferioară cu circa 3 pp</w:t>
      </w:r>
      <w:r w:rsidR="00AF3D50" w:rsidRPr="00907800">
        <w:rPr>
          <w:rFonts w:cstheme="minorHAnsi"/>
          <w:sz w:val="24"/>
          <w:szCs w:val="24"/>
        </w:rPr>
        <w:t xml:space="preserve"> la nivelul anvelopei salariale din economie comparativ cu ipotezele CNSP, ceea ce ar implica venituri bugetare mai mici cu circa 3,5 mld. lei</w:t>
      </w:r>
      <w:r w:rsidR="0039291F" w:rsidRPr="00907800">
        <w:rPr>
          <w:rFonts w:cstheme="minorHAnsi"/>
          <w:sz w:val="24"/>
          <w:szCs w:val="24"/>
        </w:rPr>
        <w:t xml:space="preserve"> comparativ cu estimările din proiectul de buget.</w:t>
      </w:r>
      <w:r w:rsidR="00AF3D50" w:rsidRPr="00907800">
        <w:rPr>
          <w:rFonts w:cstheme="minorHAnsi"/>
          <w:sz w:val="24"/>
          <w:szCs w:val="24"/>
        </w:rPr>
        <w:t xml:space="preserve">   </w:t>
      </w:r>
      <w:r w:rsidRPr="00907800">
        <w:rPr>
          <w:rFonts w:cstheme="minorHAnsi"/>
          <w:sz w:val="24"/>
          <w:szCs w:val="24"/>
        </w:rPr>
        <w:t xml:space="preserve">  </w:t>
      </w:r>
    </w:p>
    <w:p w:rsidR="00294509" w:rsidRPr="00907800" w:rsidRDefault="00294509" w:rsidP="00294509">
      <w:pPr>
        <w:jc w:val="both"/>
        <w:rPr>
          <w:sz w:val="24"/>
          <w:szCs w:val="24"/>
        </w:rPr>
      </w:pPr>
      <w:r w:rsidRPr="00907800">
        <w:rPr>
          <w:sz w:val="24"/>
          <w:szCs w:val="24"/>
        </w:rPr>
        <w:t>Consiliul fiscal are</w:t>
      </w:r>
      <w:r w:rsidR="00F84640">
        <w:rPr>
          <w:sz w:val="24"/>
          <w:szCs w:val="24"/>
        </w:rPr>
        <w:t xml:space="preserve"> </w:t>
      </w:r>
      <w:r w:rsidRPr="00907800">
        <w:rPr>
          <w:sz w:val="24"/>
          <w:szCs w:val="24"/>
        </w:rPr>
        <w:t>rezerve</w:t>
      </w:r>
      <w:r w:rsidR="00F84640">
        <w:rPr>
          <w:sz w:val="24"/>
          <w:szCs w:val="24"/>
        </w:rPr>
        <w:t xml:space="preserve"> în special cu privire la</w:t>
      </w:r>
      <w:r w:rsidRPr="00907800">
        <w:rPr>
          <w:sz w:val="24"/>
          <w:szCs w:val="24"/>
        </w:rPr>
        <w:t xml:space="preserve"> evoluția proiectată a veniturilor din TVA din proiectul de buget,</w:t>
      </w:r>
      <w:r w:rsidR="00FC1B16" w:rsidRPr="00907800">
        <w:rPr>
          <w:sz w:val="24"/>
          <w:szCs w:val="24"/>
        </w:rPr>
        <w:t xml:space="preserve"> fiind aparentă o supraevaluare semnificativă a acestora </w:t>
      </w:r>
      <w:r w:rsidRPr="00907800">
        <w:rPr>
          <w:sz w:val="24"/>
          <w:szCs w:val="24"/>
        </w:rPr>
        <w:t xml:space="preserve">chiar în contextul utilizării scenariului macroeconomic oficial. Astfel, veniturile din TVA sunt proiectate să crească (ulterior ajustării cu impactul temporar estimat al schemelor de compensare în lanț </w:t>
      </w:r>
      <w:r w:rsidR="00277ACA">
        <w:rPr>
          <w:sz w:val="24"/>
          <w:szCs w:val="24"/>
        </w:rPr>
        <w:t xml:space="preserve">de tip swap </w:t>
      </w:r>
      <w:r w:rsidRPr="00907800">
        <w:rPr>
          <w:sz w:val="24"/>
          <w:szCs w:val="24"/>
        </w:rPr>
        <w:t>a obligațiilor bugetare restante a cifrelor corespunzătoare din 201</w:t>
      </w:r>
      <w:r w:rsidR="00FC1B16" w:rsidRPr="00907800">
        <w:rPr>
          <w:sz w:val="24"/>
          <w:szCs w:val="24"/>
        </w:rPr>
        <w:t>8</w:t>
      </w:r>
      <w:r w:rsidRPr="00907800">
        <w:rPr>
          <w:sz w:val="24"/>
          <w:szCs w:val="24"/>
        </w:rPr>
        <w:t xml:space="preserve"> și 201</w:t>
      </w:r>
      <w:r w:rsidR="00FC1B16" w:rsidRPr="00907800">
        <w:rPr>
          <w:sz w:val="24"/>
          <w:szCs w:val="24"/>
        </w:rPr>
        <w:t>9</w:t>
      </w:r>
      <w:r w:rsidRPr="00907800">
        <w:rPr>
          <w:sz w:val="24"/>
          <w:szCs w:val="24"/>
        </w:rPr>
        <w:t>) cu 1</w:t>
      </w:r>
      <w:r w:rsidR="00FC1B16" w:rsidRPr="00907800">
        <w:rPr>
          <w:sz w:val="24"/>
          <w:szCs w:val="24"/>
        </w:rPr>
        <w:t>7</w:t>
      </w:r>
      <w:r w:rsidRPr="00907800">
        <w:rPr>
          <w:sz w:val="24"/>
          <w:szCs w:val="24"/>
        </w:rPr>
        <w:t xml:space="preserve">% (cu </w:t>
      </w:r>
      <w:r w:rsidR="00FC1B16" w:rsidRPr="00907800">
        <w:rPr>
          <w:sz w:val="24"/>
          <w:szCs w:val="24"/>
        </w:rPr>
        <w:t>10,1</w:t>
      </w:r>
      <w:r w:rsidRPr="00907800">
        <w:rPr>
          <w:sz w:val="24"/>
          <w:szCs w:val="24"/>
        </w:rPr>
        <w:t xml:space="preserve"> m</w:t>
      </w:r>
      <w:r w:rsidR="00F84640">
        <w:rPr>
          <w:sz w:val="24"/>
          <w:szCs w:val="24"/>
        </w:rPr>
        <w:t>ld.</w:t>
      </w:r>
      <w:r w:rsidRPr="00907800">
        <w:rPr>
          <w:sz w:val="24"/>
          <w:szCs w:val="24"/>
        </w:rPr>
        <w:t xml:space="preserve"> lei</w:t>
      </w:r>
      <w:r w:rsidR="00FC1B16" w:rsidRPr="00907800">
        <w:rPr>
          <w:sz w:val="24"/>
          <w:szCs w:val="24"/>
        </w:rPr>
        <w:t xml:space="preserve"> ori 0,54% din PIB</w:t>
      </w:r>
      <w:r w:rsidRPr="00907800">
        <w:rPr>
          <w:sz w:val="24"/>
          <w:szCs w:val="24"/>
        </w:rPr>
        <w:t xml:space="preserve">) comparativ cu nivelul </w:t>
      </w:r>
      <w:r w:rsidR="00FC1B16" w:rsidRPr="00907800">
        <w:rPr>
          <w:sz w:val="24"/>
          <w:szCs w:val="24"/>
        </w:rPr>
        <w:t xml:space="preserve">din execuția aferentă anului 2018. </w:t>
      </w:r>
      <w:r w:rsidRPr="00907800">
        <w:rPr>
          <w:sz w:val="24"/>
          <w:szCs w:val="24"/>
        </w:rPr>
        <w:t xml:space="preserve">Dinamica avansată </w:t>
      </w:r>
      <w:r w:rsidR="002F5A19">
        <w:rPr>
          <w:sz w:val="24"/>
          <w:szCs w:val="24"/>
        </w:rPr>
        <w:t xml:space="preserve">pentru </w:t>
      </w:r>
      <w:r w:rsidR="00F84640">
        <w:rPr>
          <w:sz w:val="24"/>
          <w:szCs w:val="24"/>
        </w:rPr>
        <w:t>î</w:t>
      </w:r>
      <w:r w:rsidR="002F5A19">
        <w:rPr>
          <w:sz w:val="24"/>
          <w:szCs w:val="24"/>
        </w:rPr>
        <w:t>ncas</w:t>
      </w:r>
      <w:r w:rsidR="00F84640">
        <w:rPr>
          <w:sz w:val="24"/>
          <w:szCs w:val="24"/>
        </w:rPr>
        <w:t>ă</w:t>
      </w:r>
      <w:r w:rsidR="002F5A19">
        <w:rPr>
          <w:sz w:val="24"/>
          <w:szCs w:val="24"/>
        </w:rPr>
        <w:t xml:space="preserve">rile din TVA </w:t>
      </w:r>
      <w:r w:rsidRPr="00907800">
        <w:rPr>
          <w:sz w:val="24"/>
          <w:szCs w:val="24"/>
        </w:rPr>
        <w:t>o depășește substanțial pe cea a consumului privat</w:t>
      </w:r>
      <w:r w:rsidR="002F5A19">
        <w:rPr>
          <w:sz w:val="24"/>
          <w:szCs w:val="24"/>
        </w:rPr>
        <w:t xml:space="preserve"> nominal</w:t>
      </w:r>
      <w:r w:rsidRPr="00907800">
        <w:rPr>
          <w:sz w:val="24"/>
          <w:szCs w:val="24"/>
        </w:rPr>
        <w:t xml:space="preserve"> net de autoconsum prognozată de CN</w:t>
      </w:r>
      <w:r w:rsidR="002F5A19">
        <w:rPr>
          <w:sz w:val="24"/>
          <w:szCs w:val="24"/>
        </w:rPr>
        <w:t>S</w:t>
      </w:r>
      <w:r w:rsidRPr="00907800">
        <w:rPr>
          <w:sz w:val="24"/>
          <w:szCs w:val="24"/>
        </w:rPr>
        <w:t>P</w:t>
      </w:r>
      <w:r w:rsidR="00FC1B16" w:rsidRPr="00907800">
        <w:rPr>
          <w:sz w:val="24"/>
          <w:szCs w:val="24"/>
        </w:rPr>
        <w:t xml:space="preserve"> (circa 8%)</w:t>
      </w:r>
      <w:r w:rsidR="002F5A19">
        <w:rPr>
          <w:sz w:val="24"/>
          <w:szCs w:val="24"/>
        </w:rPr>
        <w:t xml:space="preserve">. De altfel, </w:t>
      </w:r>
      <w:r w:rsidR="00FC1B16" w:rsidRPr="00907800">
        <w:rPr>
          <w:sz w:val="24"/>
          <w:szCs w:val="24"/>
        </w:rPr>
        <w:t>din cele 7,5 m</w:t>
      </w:r>
      <w:r w:rsidR="00F84640">
        <w:rPr>
          <w:sz w:val="24"/>
          <w:szCs w:val="24"/>
        </w:rPr>
        <w:t>ld.</w:t>
      </w:r>
      <w:r w:rsidR="00FC1B16" w:rsidRPr="00907800">
        <w:rPr>
          <w:sz w:val="24"/>
          <w:szCs w:val="24"/>
        </w:rPr>
        <w:t xml:space="preserve"> lei pe care textul raportului la buget le indică la pagina 9 drept venituri suplimentare din măsuri de îmbunătățire a colectării </w:t>
      </w:r>
      <w:r w:rsidR="000D71CE" w:rsidRPr="00907800">
        <w:rPr>
          <w:sz w:val="24"/>
          <w:szCs w:val="24"/>
        </w:rPr>
        <w:t>ce urmează a fi luate de ANAF</w:t>
      </w:r>
      <w:r w:rsidR="00F84640">
        <w:rPr>
          <w:sz w:val="24"/>
          <w:szCs w:val="24"/>
        </w:rPr>
        <w:t>, 6 mld.</w:t>
      </w:r>
      <w:r w:rsidR="000D71CE" w:rsidRPr="00907800">
        <w:rPr>
          <w:sz w:val="24"/>
          <w:szCs w:val="24"/>
        </w:rPr>
        <w:t xml:space="preserve"> lei </w:t>
      </w:r>
      <w:r w:rsidR="002F5A19">
        <w:rPr>
          <w:sz w:val="24"/>
          <w:szCs w:val="24"/>
        </w:rPr>
        <w:t xml:space="preserve">ar </w:t>
      </w:r>
      <w:r w:rsidR="000D71CE" w:rsidRPr="00907800">
        <w:rPr>
          <w:sz w:val="24"/>
          <w:szCs w:val="24"/>
        </w:rPr>
        <w:t>reveni veniturilor suplimentare din TVA.</w:t>
      </w:r>
      <w:r w:rsidRPr="00907800">
        <w:rPr>
          <w:sz w:val="24"/>
          <w:szCs w:val="24"/>
        </w:rPr>
        <w:t xml:space="preserve"> Consiliul fiscal este sceptic cu privire la validitatea unei asemenea evaluări</w:t>
      </w:r>
      <w:r w:rsidR="00FC1B16" w:rsidRPr="00907800">
        <w:rPr>
          <w:sz w:val="24"/>
          <w:szCs w:val="24"/>
        </w:rPr>
        <w:t xml:space="preserve">: </w:t>
      </w:r>
      <w:r w:rsidRPr="00907800">
        <w:rPr>
          <w:sz w:val="24"/>
          <w:szCs w:val="24"/>
        </w:rPr>
        <w:t xml:space="preserve">dincolo de obiecția de principiu asupra caracterului lipsit de prudență al includerii </w:t>
      </w:r>
      <w:r w:rsidRPr="00907800">
        <w:rPr>
          <w:i/>
          <w:sz w:val="24"/>
          <w:szCs w:val="24"/>
        </w:rPr>
        <w:t>ex ante</w:t>
      </w:r>
      <w:r w:rsidRPr="00907800">
        <w:rPr>
          <w:sz w:val="24"/>
          <w:szCs w:val="24"/>
        </w:rPr>
        <w:t xml:space="preserve"> în proiecția de venituri a impactului dificil ori imposibil de evaluat al unor măsuri de îmbunătățire a colectării,</w:t>
      </w:r>
      <w:r w:rsidR="00FC1B16" w:rsidRPr="00907800">
        <w:rPr>
          <w:sz w:val="24"/>
          <w:szCs w:val="24"/>
        </w:rPr>
        <w:t xml:space="preserve"> </w:t>
      </w:r>
      <w:r w:rsidR="000D71CE" w:rsidRPr="00907800">
        <w:rPr>
          <w:sz w:val="24"/>
          <w:szCs w:val="24"/>
        </w:rPr>
        <w:t xml:space="preserve">experiența anului anterior, când veniturile suplimentare din TVA din îmbunătățirea colectării nu </w:t>
      </w:r>
      <w:r w:rsidR="009A72F7" w:rsidRPr="00907800">
        <w:rPr>
          <w:sz w:val="24"/>
          <w:szCs w:val="24"/>
        </w:rPr>
        <w:t xml:space="preserve">par a se fi </w:t>
      </w:r>
      <w:r w:rsidR="000D71CE" w:rsidRPr="00907800">
        <w:rPr>
          <w:sz w:val="24"/>
          <w:szCs w:val="24"/>
        </w:rPr>
        <w:t>materializat</w:t>
      </w:r>
      <w:r w:rsidR="00182640" w:rsidRPr="00907800">
        <w:rPr>
          <w:sz w:val="24"/>
          <w:szCs w:val="24"/>
        </w:rPr>
        <w:t xml:space="preserve"> la nivelul scontat</w:t>
      </w:r>
      <w:r w:rsidR="000D71CE" w:rsidRPr="00907800">
        <w:rPr>
          <w:rStyle w:val="FootnoteReference"/>
          <w:sz w:val="24"/>
          <w:szCs w:val="24"/>
        </w:rPr>
        <w:footnoteReference w:id="4"/>
      </w:r>
      <w:r w:rsidR="00182640" w:rsidRPr="00907800">
        <w:rPr>
          <w:sz w:val="24"/>
          <w:szCs w:val="24"/>
        </w:rPr>
        <w:t xml:space="preserve">, ar trebui să îndemne la prudență în formularea proiecțiilor de venituri. </w:t>
      </w:r>
      <w:r w:rsidRPr="00907800">
        <w:rPr>
          <w:sz w:val="24"/>
          <w:szCs w:val="24"/>
        </w:rPr>
        <w:lastRenderedPageBreak/>
        <w:t xml:space="preserve">Având în vedere cele de mai sus, Consiliul fiscal consideră că veniturile din TVA aferente anului 2018 sunt cel mai probabil supraevaluate cu </w:t>
      </w:r>
      <w:r w:rsidR="00182640" w:rsidRPr="00907800">
        <w:rPr>
          <w:sz w:val="24"/>
          <w:szCs w:val="24"/>
        </w:rPr>
        <w:t xml:space="preserve">circa 5 </w:t>
      </w:r>
      <w:r w:rsidRPr="00907800">
        <w:rPr>
          <w:sz w:val="24"/>
          <w:szCs w:val="24"/>
        </w:rPr>
        <w:t>m</w:t>
      </w:r>
      <w:r w:rsidR="00F84640">
        <w:rPr>
          <w:sz w:val="24"/>
          <w:szCs w:val="24"/>
        </w:rPr>
        <w:t>ld.</w:t>
      </w:r>
      <w:r w:rsidRPr="00907800">
        <w:rPr>
          <w:sz w:val="24"/>
          <w:szCs w:val="24"/>
        </w:rPr>
        <w:t xml:space="preserve"> lei, dincolo de eventualul impact </w:t>
      </w:r>
      <w:r w:rsidR="00F84640">
        <w:rPr>
          <w:sz w:val="24"/>
          <w:szCs w:val="24"/>
        </w:rPr>
        <w:t>advers</w:t>
      </w:r>
      <w:r w:rsidR="00BA7846">
        <w:rPr>
          <w:sz w:val="24"/>
          <w:szCs w:val="24"/>
        </w:rPr>
        <w:t xml:space="preserve"> </w:t>
      </w:r>
      <w:r w:rsidRPr="00907800">
        <w:rPr>
          <w:sz w:val="24"/>
          <w:szCs w:val="24"/>
        </w:rPr>
        <w:t>al unor evoluții</w:t>
      </w:r>
      <w:r w:rsidR="00FB1702">
        <w:rPr>
          <w:sz w:val="24"/>
          <w:szCs w:val="24"/>
        </w:rPr>
        <w:t xml:space="preserve"> macroeconomice</w:t>
      </w:r>
      <w:r w:rsidRPr="00907800">
        <w:rPr>
          <w:sz w:val="24"/>
          <w:szCs w:val="24"/>
        </w:rPr>
        <w:t xml:space="preserve"> mai puțin favorabile decât cele luate în considerare în construcția bugetară. </w:t>
      </w:r>
    </w:p>
    <w:p w:rsidR="0039291F" w:rsidRPr="00907800" w:rsidRDefault="0039291F" w:rsidP="00BA1FF9">
      <w:pPr>
        <w:jc w:val="both"/>
        <w:rPr>
          <w:sz w:val="24"/>
          <w:szCs w:val="24"/>
        </w:rPr>
      </w:pPr>
      <w:r w:rsidRPr="00907800">
        <w:rPr>
          <w:sz w:val="24"/>
          <w:szCs w:val="24"/>
        </w:rPr>
        <w:t>O situație similară</w:t>
      </w:r>
      <w:r w:rsidR="0000673B" w:rsidRPr="00907800">
        <w:rPr>
          <w:sz w:val="24"/>
          <w:szCs w:val="24"/>
        </w:rPr>
        <w:t xml:space="preserve">, din perspectiva veniturilor suplimentare obținute din măsuri de îmbunătățire a colectării (evaluate </w:t>
      </w:r>
      <w:r w:rsidR="00767DEB">
        <w:rPr>
          <w:sz w:val="24"/>
          <w:szCs w:val="24"/>
        </w:rPr>
        <w:t xml:space="preserve">de </w:t>
      </w:r>
      <w:r w:rsidR="00F84640">
        <w:rPr>
          <w:sz w:val="24"/>
          <w:szCs w:val="24"/>
        </w:rPr>
        <w:t>MFP</w:t>
      </w:r>
      <w:r w:rsidR="00767DEB">
        <w:rPr>
          <w:sz w:val="24"/>
          <w:szCs w:val="24"/>
        </w:rPr>
        <w:t xml:space="preserve"> </w:t>
      </w:r>
      <w:r w:rsidR="0000673B" w:rsidRPr="00907800">
        <w:rPr>
          <w:sz w:val="24"/>
          <w:szCs w:val="24"/>
        </w:rPr>
        <w:t>la 1 mld. de lei), apare la nivelul veniturilor din accize. Și aici experiența anului anterior ar trebui să îndemne la prudență, în condițiile în care în execuție veniturile au fost inferioare cu 1,7 m</w:t>
      </w:r>
      <w:r w:rsidR="00F84640">
        <w:rPr>
          <w:sz w:val="24"/>
          <w:szCs w:val="24"/>
        </w:rPr>
        <w:t>ld.</w:t>
      </w:r>
      <w:r w:rsidR="0000673B" w:rsidRPr="00907800">
        <w:rPr>
          <w:sz w:val="24"/>
          <w:szCs w:val="24"/>
        </w:rPr>
        <w:t xml:space="preserve"> de lei evaluărilor inițiale. </w:t>
      </w:r>
      <w:r w:rsidR="0066294E">
        <w:rPr>
          <w:sz w:val="24"/>
          <w:szCs w:val="24"/>
        </w:rPr>
        <w:t>Evaluarea curentă a Consiliului fiscal relevă însă faptul că dimensiunea acestui agregat de venituri apare drept concordantă cu variația consumului real proiectată de CNSP, chiar neluând în calcul veniturile suplimentare din îmbunătățirea colectării. Cu toate acestea</w:t>
      </w:r>
      <w:r w:rsidR="00272785">
        <w:rPr>
          <w:sz w:val="24"/>
          <w:szCs w:val="24"/>
        </w:rPr>
        <w:t>, în cazul accizelor</w:t>
      </w:r>
      <w:r w:rsidR="0000673B" w:rsidRPr="00907800">
        <w:rPr>
          <w:sz w:val="24"/>
          <w:szCs w:val="24"/>
        </w:rPr>
        <w:t xml:space="preserve"> preocupările referitoare la caracterul excesiv de optimist al creșterii ec</w:t>
      </w:r>
      <w:r w:rsidR="00272785">
        <w:rPr>
          <w:sz w:val="24"/>
          <w:szCs w:val="24"/>
        </w:rPr>
        <w:t>o</w:t>
      </w:r>
      <w:r w:rsidR="0000673B" w:rsidRPr="00907800">
        <w:rPr>
          <w:sz w:val="24"/>
          <w:szCs w:val="24"/>
        </w:rPr>
        <w:t>nomice reale sunt cu atât mai relevante cu cât aparenta subestimare a deflatorilor nu funcționează ca un factor de compensare la adresa unor dinamici inferioare ale consumului real, dat fiind modul de definire al bazei de impozitare (cantități fizice).</w:t>
      </w:r>
      <w:r w:rsidR="0066294E">
        <w:rPr>
          <w:sz w:val="24"/>
          <w:szCs w:val="24"/>
        </w:rPr>
        <w:t xml:space="preserve"> </w:t>
      </w:r>
    </w:p>
    <w:p w:rsidR="00BA1FF9" w:rsidRPr="00907800" w:rsidRDefault="00182640" w:rsidP="00BA1FF9">
      <w:pPr>
        <w:jc w:val="both"/>
        <w:rPr>
          <w:sz w:val="24"/>
          <w:szCs w:val="24"/>
        </w:rPr>
      </w:pPr>
      <w:r w:rsidRPr="00907800">
        <w:rPr>
          <w:sz w:val="24"/>
          <w:szCs w:val="24"/>
        </w:rPr>
        <w:t>De asemenea, proiectul de buget include venituri</w:t>
      </w:r>
      <w:r w:rsidR="00F84640">
        <w:rPr>
          <w:sz w:val="24"/>
          <w:szCs w:val="24"/>
        </w:rPr>
        <w:t xml:space="preserve"> excepționale de 2,1 mld.</w:t>
      </w:r>
      <w:r w:rsidRPr="00907800">
        <w:rPr>
          <w:sz w:val="24"/>
          <w:szCs w:val="24"/>
        </w:rPr>
        <w:t xml:space="preserve"> lei (la nivelul agregatului taxe pe utilizarea bunurilor, autorizarea utilizării bunurilor sau pe desfășurarea de activități) din închirierea benzilor de frecvență 5G. </w:t>
      </w:r>
      <w:r w:rsidR="00BA7846">
        <w:rPr>
          <w:sz w:val="24"/>
          <w:szCs w:val="24"/>
        </w:rPr>
        <w:t xml:space="preserve">Este de </w:t>
      </w:r>
      <w:r w:rsidRPr="00907800">
        <w:rPr>
          <w:sz w:val="24"/>
          <w:szCs w:val="24"/>
        </w:rPr>
        <w:t xml:space="preserve">remarcat </w:t>
      </w:r>
      <w:r w:rsidR="00F84640">
        <w:rPr>
          <w:sz w:val="24"/>
          <w:szCs w:val="24"/>
        </w:rPr>
        <w:t>ș</w:t>
      </w:r>
      <w:r w:rsidR="00BA7846">
        <w:rPr>
          <w:sz w:val="24"/>
          <w:szCs w:val="24"/>
        </w:rPr>
        <w:t xml:space="preserve">i </w:t>
      </w:r>
      <w:r w:rsidRPr="00907800">
        <w:rPr>
          <w:sz w:val="24"/>
          <w:szCs w:val="24"/>
        </w:rPr>
        <w:t xml:space="preserve">nivelul semnificativ superior al  veniturilor preconizate comparativ cu cel avut în vedere în varianta </w:t>
      </w:r>
      <w:r w:rsidR="00BA1FF9" w:rsidRPr="00907800">
        <w:rPr>
          <w:sz w:val="24"/>
          <w:szCs w:val="24"/>
        </w:rPr>
        <w:t xml:space="preserve">inițială a </w:t>
      </w:r>
      <w:r w:rsidRPr="00907800">
        <w:rPr>
          <w:sz w:val="24"/>
          <w:szCs w:val="24"/>
        </w:rPr>
        <w:t>bugetului</w:t>
      </w:r>
      <w:r w:rsidR="00BA1FF9" w:rsidRPr="00907800">
        <w:rPr>
          <w:sz w:val="24"/>
          <w:szCs w:val="24"/>
        </w:rPr>
        <w:t xml:space="preserve"> aferent anului anterior (care evalua aceste venituri la 1,3 mld. lei). </w:t>
      </w:r>
      <w:r w:rsidR="00E050B4">
        <w:rPr>
          <w:sz w:val="24"/>
          <w:szCs w:val="24"/>
        </w:rPr>
        <w:t>Este foarte probabil</w:t>
      </w:r>
      <w:r w:rsidR="00E050B4" w:rsidRPr="00907800">
        <w:rPr>
          <w:sz w:val="24"/>
          <w:szCs w:val="24"/>
        </w:rPr>
        <w:t xml:space="preserve"> </w:t>
      </w:r>
      <w:r w:rsidR="00BA1FF9" w:rsidRPr="00907800">
        <w:rPr>
          <w:sz w:val="24"/>
          <w:szCs w:val="24"/>
        </w:rPr>
        <w:t>c</w:t>
      </w:r>
      <w:r w:rsidR="00E050B4">
        <w:rPr>
          <w:sz w:val="24"/>
          <w:szCs w:val="24"/>
        </w:rPr>
        <w:t>a</w:t>
      </w:r>
      <w:r w:rsidR="00BA1FF9" w:rsidRPr="00907800">
        <w:rPr>
          <w:sz w:val="24"/>
          <w:szCs w:val="24"/>
        </w:rPr>
        <w:t xml:space="preserve"> taxarea suplimentară a sectorului telecom </w:t>
      </w:r>
      <w:r w:rsidR="00E050B4">
        <w:rPr>
          <w:sz w:val="24"/>
          <w:szCs w:val="24"/>
        </w:rPr>
        <w:t>prin OUG nr. 114/2018 s</w:t>
      </w:r>
      <w:r w:rsidR="00F84640">
        <w:rPr>
          <w:sz w:val="24"/>
          <w:szCs w:val="24"/>
        </w:rPr>
        <w:t>ă</w:t>
      </w:r>
      <w:r w:rsidR="00E050B4">
        <w:rPr>
          <w:sz w:val="24"/>
          <w:szCs w:val="24"/>
        </w:rPr>
        <w:t xml:space="preserve"> fie</w:t>
      </w:r>
      <w:r w:rsidR="00E050B4" w:rsidRPr="00907800">
        <w:rPr>
          <w:sz w:val="24"/>
          <w:szCs w:val="24"/>
        </w:rPr>
        <w:t xml:space="preserve"> </w:t>
      </w:r>
      <w:r w:rsidR="00BA1FF9" w:rsidRPr="00907800">
        <w:rPr>
          <w:sz w:val="24"/>
          <w:szCs w:val="24"/>
        </w:rPr>
        <w:t xml:space="preserve">de natură să </w:t>
      </w:r>
      <w:r w:rsidR="00A7748C" w:rsidRPr="00907800">
        <w:rPr>
          <w:sz w:val="24"/>
          <w:szCs w:val="24"/>
        </w:rPr>
        <w:t>facă problematică</w:t>
      </w:r>
      <w:r w:rsidR="00BA1FF9" w:rsidRPr="00907800">
        <w:rPr>
          <w:sz w:val="24"/>
          <w:szCs w:val="24"/>
        </w:rPr>
        <w:t xml:space="preserve"> obținer</w:t>
      </w:r>
      <w:r w:rsidR="00A7748C" w:rsidRPr="00907800">
        <w:rPr>
          <w:sz w:val="24"/>
          <w:szCs w:val="24"/>
        </w:rPr>
        <w:t>ea</w:t>
      </w:r>
      <w:r w:rsidR="00BA1FF9" w:rsidRPr="00907800">
        <w:rPr>
          <w:sz w:val="24"/>
          <w:szCs w:val="24"/>
        </w:rPr>
        <w:t xml:space="preserve"> acestor venituri, având în vedere </w:t>
      </w:r>
      <w:r w:rsidR="00E050B4" w:rsidRPr="00907800">
        <w:rPr>
          <w:sz w:val="24"/>
          <w:szCs w:val="24"/>
        </w:rPr>
        <w:t>p</w:t>
      </w:r>
      <w:r w:rsidR="00E050B4">
        <w:rPr>
          <w:sz w:val="24"/>
          <w:szCs w:val="24"/>
        </w:rPr>
        <w:t>osi</w:t>
      </w:r>
      <w:r w:rsidR="00E050B4" w:rsidRPr="00907800">
        <w:rPr>
          <w:sz w:val="24"/>
          <w:szCs w:val="24"/>
        </w:rPr>
        <w:t xml:space="preserve">bilele </w:t>
      </w:r>
      <w:r w:rsidR="00BA1FF9" w:rsidRPr="00907800">
        <w:rPr>
          <w:sz w:val="24"/>
          <w:szCs w:val="24"/>
        </w:rPr>
        <w:t>re</w:t>
      </w:r>
      <w:r w:rsidR="00A7748C" w:rsidRPr="00907800">
        <w:rPr>
          <w:sz w:val="24"/>
          <w:szCs w:val="24"/>
        </w:rPr>
        <w:t>evaluări</w:t>
      </w:r>
      <w:r w:rsidR="00BA1FF9" w:rsidRPr="00907800">
        <w:rPr>
          <w:sz w:val="24"/>
          <w:szCs w:val="24"/>
        </w:rPr>
        <w:t xml:space="preserve"> ale planurilor de expansiune </w:t>
      </w:r>
      <w:r w:rsidR="00A7748C" w:rsidRPr="00907800">
        <w:rPr>
          <w:sz w:val="24"/>
          <w:szCs w:val="24"/>
        </w:rPr>
        <w:t>de către</w:t>
      </w:r>
      <w:r w:rsidR="00BA1FF9" w:rsidRPr="00907800">
        <w:rPr>
          <w:sz w:val="24"/>
          <w:szCs w:val="24"/>
        </w:rPr>
        <w:t xml:space="preserve"> operatori</w:t>
      </w:r>
      <w:r w:rsidR="00A7748C" w:rsidRPr="00907800">
        <w:rPr>
          <w:sz w:val="24"/>
          <w:szCs w:val="24"/>
        </w:rPr>
        <w:t>i din domeniu</w:t>
      </w:r>
      <w:r w:rsidR="00BA1FF9" w:rsidRPr="00907800">
        <w:rPr>
          <w:sz w:val="24"/>
          <w:szCs w:val="24"/>
        </w:rPr>
        <w:t>. Mai mult, veniturile respective nu se vor reflecta de o manieră echivalentă în execuția bugetară conform ESA 2010, unde ar urma să fie repartizate linear pe durata de viață a concesiunii, contribuind</w:t>
      </w:r>
      <w:r w:rsidR="003F1ABA" w:rsidRPr="003F1ABA">
        <w:rPr>
          <w:sz w:val="24"/>
          <w:szCs w:val="24"/>
        </w:rPr>
        <w:t xml:space="preserve"> </w:t>
      </w:r>
      <w:r w:rsidR="003F1ABA" w:rsidRPr="00907800">
        <w:rPr>
          <w:sz w:val="24"/>
          <w:szCs w:val="24"/>
        </w:rPr>
        <w:t>astfel</w:t>
      </w:r>
      <w:r w:rsidR="00BA1FF9" w:rsidRPr="00907800">
        <w:rPr>
          <w:sz w:val="24"/>
          <w:szCs w:val="24"/>
        </w:rPr>
        <w:t xml:space="preserve">, </w:t>
      </w:r>
      <w:r w:rsidR="00BA1FF9" w:rsidRPr="00BE7851">
        <w:rPr>
          <w:i/>
          <w:sz w:val="24"/>
          <w:szCs w:val="24"/>
        </w:rPr>
        <w:t>c</w:t>
      </w:r>
      <w:r w:rsidR="00F84640">
        <w:rPr>
          <w:i/>
          <w:sz w:val="24"/>
          <w:szCs w:val="24"/>
        </w:rPr>
        <w:t>a</w:t>
      </w:r>
      <w:r w:rsidR="00BA1FF9" w:rsidRPr="00BE7851">
        <w:rPr>
          <w:i/>
          <w:sz w:val="24"/>
          <w:szCs w:val="24"/>
        </w:rPr>
        <w:t>eteris paribus</w:t>
      </w:r>
      <w:r w:rsidR="00BA1FF9" w:rsidRPr="00907800">
        <w:rPr>
          <w:sz w:val="24"/>
          <w:szCs w:val="24"/>
        </w:rPr>
        <w:t xml:space="preserve">, la apariția un ecart negativ între soldul bugetar conform ESA 2010 și cel cash. </w:t>
      </w:r>
    </w:p>
    <w:p w:rsidR="003B0108" w:rsidRDefault="00A36A15" w:rsidP="00BA1FF9">
      <w:pPr>
        <w:jc w:val="both"/>
        <w:rPr>
          <w:sz w:val="24"/>
          <w:szCs w:val="24"/>
        </w:rPr>
      </w:pPr>
      <w:r w:rsidRPr="00907800">
        <w:rPr>
          <w:sz w:val="24"/>
          <w:szCs w:val="24"/>
        </w:rPr>
        <w:t xml:space="preserve">Pe partea de cheltuieli, Consiliul fiscal identifică drept potențiale surse de </w:t>
      </w:r>
      <w:r w:rsidR="007D103A">
        <w:rPr>
          <w:sz w:val="24"/>
          <w:szCs w:val="24"/>
        </w:rPr>
        <w:t xml:space="preserve">riscuri </w:t>
      </w:r>
      <w:r w:rsidRPr="00907800">
        <w:rPr>
          <w:sz w:val="24"/>
          <w:szCs w:val="24"/>
        </w:rPr>
        <w:t xml:space="preserve">cheltuielile cu bunurile și serviciile și cele cu dobânzile. În primul caz, în execuția anului anterior cheltuielile au fost mai mari cu 4,75 </w:t>
      </w:r>
      <w:r w:rsidR="00F84640">
        <w:rPr>
          <w:sz w:val="24"/>
          <w:szCs w:val="24"/>
        </w:rPr>
        <w:t>mld.</w:t>
      </w:r>
      <w:r w:rsidRPr="00907800">
        <w:rPr>
          <w:sz w:val="24"/>
          <w:szCs w:val="24"/>
        </w:rPr>
        <w:t xml:space="preserve"> lei comparativ cu bugetul inițial și cu 4 </w:t>
      </w:r>
      <w:r w:rsidR="00F84640">
        <w:rPr>
          <w:sz w:val="24"/>
          <w:szCs w:val="24"/>
        </w:rPr>
        <w:t>mld. lei</w:t>
      </w:r>
      <w:r w:rsidRPr="00907800">
        <w:rPr>
          <w:sz w:val="24"/>
          <w:szCs w:val="24"/>
        </w:rPr>
        <w:t xml:space="preserve"> superioare valorii înregistrate la finele anului 2017, iar cheltuielile cu bunurile și serviciile sunt preconizate să crească în 2019 cu </w:t>
      </w:r>
      <w:r w:rsidR="00C432DE">
        <w:rPr>
          <w:sz w:val="24"/>
          <w:szCs w:val="24"/>
        </w:rPr>
        <w:t xml:space="preserve">doar </w:t>
      </w:r>
      <w:r w:rsidRPr="00907800">
        <w:rPr>
          <w:sz w:val="24"/>
          <w:szCs w:val="24"/>
        </w:rPr>
        <w:t>1,95 mld. lei, ritmul de creștere încetinind de la 9,8% în 2018 la 4,4%.  Apreciem că</w:t>
      </w:r>
      <w:r w:rsidR="00907800" w:rsidRPr="00907800">
        <w:rPr>
          <w:sz w:val="24"/>
          <w:szCs w:val="24"/>
        </w:rPr>
        <w:t xml:space="preserve"> menținerea</w:t>
      </w:r>
      <w:r w:rsidRPr="00907800">
        <w:rPr>
          <w:sz w:val="24"/>
          <w:szCs w:val="24"/>
        </w:rPr>
        <w:t xml:space="preserve"> cheltuieli</w:t>
      </w:r>
      <w:r w:rsidR="00907800" w:rsidRPr="00907800">
        <w:rPr>
          <w:sz w:val="24"/>
          <w:szCs w:val="24"/>
        </w:rPr>
        <w:t>lor în anvelopa</w:t>
      </w:r>
      <w:r w:rsidRPr="00907800">
        <w:rPr>
          <w:sz w:val="24"/>
          <w:szCs w:val="24"/>
        </w:rPr>
        <w:t xml:space="preserve"> bugetat</w:t>
      </w:r>
      <w:r w:rsidR="00907800" w:rsidRPr="00907800">
        <w:rPr>
          <w:sz w:val="24"/>
          <w:szCs w:val="24"/>
        </w:rPr>
        <w:t>ă</w:t>
      </w:r>
      <w:r w:rsidRPr="00907800">
        <w:rPr>
          <w:sz w:val="24"/>
          <w:szCs w:val="24"/>
        </w:rPr>
        <w:t xml:space="preserve"> </w:t>
      </w:r>
      <w:r w:rsidR="00907800" w:rsidRPr="00907800">
        <w:rPr>
          <w:sz w:val="24"/>
          <w:szCs w:val="24"/>
        </w:rPr>
        <w:t>în cazul</w:t>
      </w:r>
      <w:r w:rsidRPr="00907800">
        <w:rPr>
          <w:sz w:val="24"/>
          <w:szCs w:val="24"/>
        </w:rPr>
        <w:t xml:space="preserve"> acest</w:t>
      </w:r>
      <w:r w:rsidR="00907800" w:rsidRPr="00907800">
        <w:rPr>
          <w:sz w:val="24"/>
          <w:szCs w:val="24"/>
        </w:rPr>
        <w:t>ui</w:t>
      </w:r>
      <w:r w:rsidRPr="00907800">
        <w:rPr>
          <w:sz w:val="24"/>
          <w:szCs w:val="24"/>
        </w:rPr>
        <w:t xml:space="preserve"> capitol </w:t>
      </w:r>
      <w:r w:rsidR="00907800" w:rsidRPr="00907800">
        <w:rPr>
          <w:sz w:val="24"/>
          <w:szCs w:val="24"/>
        </w:rPr>
        <w:t xml:space="preserve">se </w:t>
      </w:r>
      <w:r w:rsidRPr="00907800">
        <w:rPr>
          <w:sz w:val="24"/>
          <w:szCs w:val="24"/>
        </w:rPr>
        <w:t xml:space="preserve">va </w:t>
      </w:r>
      <w:r w:rsidR="00907800" w:rsidRPr="00907800">
        <w:rPr>
          <w:sz w:val="24"/>
          <w:szCs w:val="24"/>
        </w:rPr>
        <w:t xml:space="preserve">dovedi dificilă în lumina experienței anului anterior. </w:t>
      </w:r>
    </w:p>
    <w:p w:rsidR="0000673B" w:rsidRPr="00907800" w:rsidRDefault="00907800" w:rsidP="00BA1FF9">
      <w:pPr>
        <w:jc w:val="both"/>
        <w:rPr>
          <w:sz w:val="24"/>
          <w:szCs w:val="24"/>
        </w:rPr>
      </w:pPr>
      <w:r w:rsidRPr="00907800">
        <w:rPr>
          <w:sz w:val="24"/>
          <w:szCs w:val="24"/>
        </w:rPr>
        <w:t>În cel de-al doilea caz, cheltuielile cu dobânzile sunt preconizat</w:t>
      </w:r>
      <w:r w:rsidR="00F84640">
        <w:rPr>
          <w:sz w:val="24"/>
          <w:szCs w:val="24"/>
        </w:rPr>
        <w:t>e să crească cu doar 0,6 mld.</w:t>
      </w:r>
      <w:r w:rsidRPr="00907800">
        <w:rPr>
          <w:sz w:val="24"/>
          <w:szCs w:val="24"/>
        </w:rPr>
        <w:t xml:space="preserve"> lei comparativ cu </w:t>
      </w:r>
      <w:r w:rsidR="00F84640">
        <w:rPr>
          <w:sz w:val="24"/>
          <w:szCs w:val="24"/>
        </w:rPr>
        <w:t>un avans</w:t>
      </w:r>
      <w:r w:rsidR="003C37F8">
        <w:rPr>
          <w:sz w:val="24"/>
          <w:szCs w:val="24"/>
        </w:rPr>
        <w:t xml:space="preserve"> de </w:t>
      </w:r>
      <w:r w:rsidR="00F84640">
        <w:rPr>
          <w:sz w:val="24"/>
          <w:szCs w:val="24"/>
        </w:rPr>
        <w:t>2.8 mld. lei</w:t>
      </w:r>
      <w:r w:rsidRPr="00907800">
        <w:rPr>
          <w:sz w:val="24"/>
          <w:szCs w:val="24"/>
        </w:rPr>
        <w:t xml:space="preserve"> în anul anterior, </w:t>
      </w:r>
      <w:r w:rsidR="00FD1D27">
        <w:rPr>
          <w:sz w:val="24"/>
          <w:szCs w:val="24"/>
        </w:rPr>
        <w:t xml:space="preserve">ceea ce este echivalent cu </w:t>
      </w:r>
      <w:r w:rsidRPr="00907800">
        <w:rPr>
          <w:sz w:val="24"/>
          <w:szCs w:val="24"/>
        </w:rPr>
        <w:t>o reducere de ritm de creștere de la 27,8% la 4,4%. Consiliul fiscal apreciază că propunerea bugetară curentă apare drept potențial subdimensionată având în vedere tendința</w:t>
      </w:r>
      <w:r w:rsidR="003B0108">
        <w:rPr>
          <w:sz w:val="24"/>
          <w:szCs w:val="24"/>
        </w:rPr>
        <w:t xml:space="preserve"> evident</w:t>
      </w:r>
      <w:r w:rsidR="00F84640">
        <w:rPr>
          <w:sz w:val="24"/>
          <w:szCs w:val="24"/>
        </w:rPr>
        <w:t>ă</w:t>
      </w:r>
      <w:r w:rsidRPr="00907800">
        <w:rPr>
          <w:sz w:val="24"/>
          <w:szCs w:val="24"/>
        </w:rPr>
        <w:t xml:space="preserve"> </w:t>
      </w:r>
      <w:r w:rsidRPr="00907800">
        <w:rPr>
          <w:sz w:val="24"/>
          <w:szCs w:val="24"/>
        </w:rPr>
        <w:lastRenderedPageBreak/>
        <w:t>de creștere a costurilor de finanțare</w:t>
      </w:r>
      <w:r w:rsidR="00B073AE">
        <w:rPr>
          <w:sz w:val="24"/>
          <w:szCs w:val="24"/>
        </w:rPr>
        <w:t xml:space="preserve">, mai ales în contextul nou adoptatei taxe pe activele bancare și a modului de stabilire a asietei acesteia (care </w:t>
      </w:r>
      <w:r w:rsidR="005E35F0">
        <w:rPr>
          <w:sz w:val="24"/>
          <w:szCs w:val="24"/>
        </w:rPr>
        <w:t>include si</w:t>
      </w:r>
      <w:r w:rsidR="00B073AE">
        <w:rPr>
          <w:sz w:val="24"/>
          <w:szCs w:val="24"/>
        </w:rPr>
        <w:t xml:space="preserve"> deținerile de obligațiuni guvernamentale), precum</w:t>
      </w:r>
      <w:r w:rsidRPr="00907800">
        <w:rPr>
          <w:sz w:val="24"/>
          <w:szCs w:val="24"/>
        </w:rPr>
        <w:t xml:space="preserve"> și </w:t>
      </w:r>
      <w:r w:rsidR="00B073AE">
        <w:rPr>
          <w:sz w:val="24"/>
          <w:szCs w:val="24"/>
        </w:rPr>
        <w:t>volumul în creștere a</w:t>
      </w:r>
      <w:r w:rsidR="003B0108">
        <w:rPr>
          <w:sz w:val="24"/>
          <w:szCs w:val="24"/>
        </w:rPr>
        <w:t>l</w:t>
      </w:r>
      <w:r w:rsidRPr="00907800">
        <w:rPr>
          <w:sz w:val="24"/>
          <w:szCs w:val="24"/>
        </w:rPr>
        <w:t xml:space="preserve"> datorie</w:t>
      </w:r>
      <w:r w:rsidR="00B073AE">
        <w:rPr>
          <w:sz w:val="24"/>
          <w:szCs w:val="24"/>
        </w:rPr>
        <w:t>i publice</w:t>
      </w:r>
      <w:r w:rsidRPr="00907800">
        <w:rPr>
          <w:sz w:val="24"/>
          <w:szCs w:val="24"/>
        </w:rPr>
        <w:t xml:space="preserve">. Încadrarea în anvelopa bugetară propusă este </w:t>
      </w:r>
      <w:r w:rsidR="00F84640">
        <w:rPr>
          <w:sz w:val="24"/>
          <w:szCs w:val="24"/>
        </w:rPr>
        <w:t>însă</w:t>
      </w:r>
      <w:r w:rsidR="003B0108">
        <w:rPr>
          <w:sz w:val="24"/>
          <w:szCs w:val="24"/>
        </w:rPr>
        <w:t xml:space="preserve"> </w:t>
      </w:r>
      <w:r w:rsidRPr="00907800">
        <w:rPr>
          <w:sz w:val="24"/>
          <w:szCs w:val="24"/>
        </w:rPr>
        <w:t xml:space="preserve">probabil posibilă în condițiile unei orientări în creștere a finanțării spre termene scurte ori a utilizării </w:t>
      </w:r>
      <w:r w:rsidR="00B073AE">
        <w:rPr>
          <w:sz w:val="24"/>
          <w:szCs w:val="24"/>
        </w:rPr>
        <w:t xml:space="preserve">intensive a </w:t>
      </w:r>
      <w:r w:rsidRPr="00907800">
        <w:rPr>
          <w:sz w:val="24"/>
          <w:szCs w:val="24"/>
        </w:rPr>
        <w:t>stocului-tampon de lichiditate al Trezoreriei</w:t>
      </w:r>
      <w:r w:rsidR="00F84640">
        <w:rPr>
          <w:sz w:val="24"/>
          <w:szCs w:val="24"/>
        </w:rPr>
        <w:t>.</w:t>
      </w:r>
      <w:r w:rsidR="003B0108">
        <w:rPr>
          <w:sz w:val="24"/>
          <w:szCs w:val="24"/>
        </w:rPr>
        <w:t xml:space="preserve"> O</w:t>
      </w:r>
      <w:r w:rsidRPr="00907800">
        <w:rPr>
          <w:sz w:val="24"/>
          <w:szCs w:val="24"/>
        </w:rPr>
        <w:t xml:space="preserve"> asemenea abordare ar genera </w:t>
      </w:r>
      <w:r w:rsidR="00F84640">
        <w:rPr>
          <w:sz w:val="24"/>
          <w:szCs w:val="24"/>
        </w:rPr>
        <w:t>î</w:t>
      </w:r>
      <w:r w:rsidR="003B0108">
        <w:rPr>
          <w:sz w:val="24"/>
          <w:szCs w:val="24"/>
        </w:rPr>
        <w:t>ns</w:t>
      </w:r>
      <w:r w:rsidR="00F84640">
        <w:rPr>
          <w:sz w:val="24"/>
          <w:szCs w:val="24"/>
        </w:rPr>
        <w:t>ă</w:t>
      </w:r>
      <w:r w:rsidR="003B0108">
        <w:rPr>
          <w:sz w:val="24"/>
          <w:szCs w:val="24"/>
        </w:rPr>
        <w:t xml:space="preserve"> </w:t>
      </w:r>
      <w:r w:rsidRPr="00907800">
        <w:rPr>
          <w:sz w:val="24"/>
          <w:szCs w:val="24"/>
        </w:rPr>
        <w:t>riscuri suplimentare în ceea ce privește rezistența la șocuri externe, cu impact asupra lichidității piețelor financiare ori în ceea ce privește aversiunea la risc a investitorilor, cu o probabilitate în creștere într-un context intern și interna</w:t>
      </w:r>
      <w:r w:rsidR="00122273">
        <w:rPr>
          <w:sz w:val="24"/>
          <w:szCs w:val="24"/>
        </w:rPr>
        <w:t>ț</w:t>
      </w:r>
      <w:r w:rsidRPr="00907800">
        <w:rPr>
          <w:sz w:val="24"/>
          <w:szCs w:val="24"/>
        </w:rPr>
        <w:t xml:space="preserve">ional </w:t>
      </w:r>
      <w:r w:rsidR="00F84640">
        <w:rPr>
          <w:sz w:val="24"/>
          <w:szCs w:val="24"/>
        </w:rPr>
        <w:t>potenț</w:t>
      </w:r>
      <w:r w:rsidR="00902307">
        <w:rPr>
          <w:sz w:val="24"/>
          <w:szCs w:val="24"/>
        </w:rPr>
        <w:t xml:space="preserve">ial </w:t>
      </w:r>
      <w:r w:rsidRPr="00907800">
        <w:rPr>
          <w:sz w:val="24"/>
          <w:szCs w:val="24"/>
        </w:rPr>
        <w:t xml:space="preserve">mai complicat decât în trecut. </w:t>
      </w:r>
    </w:p>
    <w:p w:rsidR="003D31FE" w:rsidRDefault="00907800" w:rsidP="003D31FE">
      <w:pPr>
        <w:jc w:val="both"/>
        <w:rPr>
          <w:sz w:val="24"/>
          <w:szCs w:val="24"/>
        </w:rPr>
      </w:pPr>
      <w:r>
        <w:rPr>
          <w:sz w:val="24"/>
          <w:szCs w:val="24"/>
        </w:rPr>
        <w:t xml:space="preserve">În fine, proiectul de buget </w:t>
      </w:r>
      <w:r w:rsidR="00B073AE">
        <w:rPr>
          <w:sz w:val="24"/>
          <w:szCs w:val="24"/>
        </w:rPr>
        <w:t>vizează o expansiune de proporții a cheltuielilor cu investițiile (de la 34,2 m</w:t>
      </w:r>
      <w:r w:rsidR="00F84640">
        <w:rPr>
          <w:sz w:val="24"/>
          <w:szCs w:val="24"/>
        </w:rPr>
        <w:t>ld.</w:t>
      </w:r>
      <w:r w:rsidR="00B073AE">
        <w:rPr>
          <w:sz w:val="24"/>
          <w:szCs w:val="24"/>
        </w:rPr>
        <w:t xml:space="preserve"> lei în 2018 la 47,1 </w:t>
      </w:r>
      <w:r w:rsidR="00F84640">
        <w:rPr>
          <w:sz w:val="24"/>
          <w:szCs w:val="24"/>
        </w:rPr>
        <w:t xml:space="preserve">mld. lei </w:t>
      </w:r>
      <w:r w:rsidR="00B073AE">
        <w:rPr>
          <w:sz w:val="24"/>
          <w:szCs w:val="24"/>
        </w:rPr>
        <w:t>în 2019), pe seama cvasi-triplării intrărilor anticipate din fonduri structurale și de coeziune</w:t>
      </w:r>
      <w:r w:rsidR="00683805">
        <w:rPr>
          <w:sz w:val="24"/>
          <w:szCs w:val="24"/>
        </w:rPr>
        <w:t xml:space="preserve"> (FSC)</w:t>
      </w:r>
      <w:r w:rsidR="00B073AE">
        <w:rPr>
          <w:sz w:val="24"/>
          <w:szCs w:val="24"/>
        </w:rPr>
        <w:t xml:space="preserve"> </w:t>
      </w:r>
      <w:r w:rsidR="00683805">
        <w:rPr>
          <w:sz w:val="24"/>
          <w:szCs w:val="24"/>
        </w:rPr>
        <w:t xml:space="preserve">de la UE </w:t>
      </w:r>
      <w:r w:rsidR="00B073AE">
        <w:rPr>
          <w:sz w:val="24"/>
          <w:szCs w:val="24"/>
        </w:rPr>
        <w:t xml:space="preserve">al căror beneficiar final este sectorul public (de la 5,2 </w:t>
      </w:r>
      <w:r w:rsidR="00F84640">
        <w:rPr>
          <w:sz w:val="24"/>
          <w:szCs w:val="24"/>
        </w:rPr>
        <w:t>mld. lei</w:t>
      </w:r>
      <w:r w:rsidR="00B073AE">
        <w:rPr>
          <w:sz w:val="24"/>
          <w:szCs w:val="24"/>
        </w:rPr>
        <w:t xml:space="preserve"> în 2018, la 15,1 </w:t>
      </w:r>
      <w:r w:rsidR="00F84640">
        <w:rPr>
          <w:sz w:val="24"/>
          <w:szCs w:val="24"/>
        </w:rPr>
        <w:t>mld. lei</w:t>
      </w:r>
      <w:r w:rsidR="00B073AE">
        <w:rPr>
          <w:sz w:val="24"/>
          <w:szCs w:val="24"/>
        </w:rPr>
        <w:t xml:space="preserve"> în 2019). În condițiile în care MFP anticipează o expansiune mai puțin rapidă a cheltuielilor de cofinanțare și neeligibile (raportul cheltuieli/venituri din FSC scade de la 2,1 în 2018 la 1,65</w:t>
      </w:r>
      <w:r w:rsidR="00F84640">
        <w:rPr>
          <w:sz w:val="24"/>
          <w:szCs w:val="24"/>
        </w:rPr>
        <w:t xml:space="preserve"> î</w:t>
      </w:r>
      <w:r w:rsidR="00683805">
        <w:rPr>
          <w:sz w:val="24"/>
          <w:szCs w:val="24"/>
        </w:rPr>
        <w:t>n 2019</w:t>
      </w:r>
      <w:r w:rsidR="00B073AE">
        <w:rPr>
          <w:sz w:val="24"/>
          <w:szCs w:val="24"/>
        </w:rPr>
        <w:t xml:space="preserve">), </w:t>
      </w:r>
      <w:r w:rsidR="00D44F86">
        <w:rPr>
          <w:sz w:val="24"/>
          <w:szCs w:val="24"/>
        </w:rPr>
        <w:t xml:space="preserve">bugetul estimează o dublare a cheltuielilor aferente proiectelor de investiții cu finanțare europeană (+13,8 </w:t>
      </w:r>
      <w:r w:rsidR="00F84640">
        <w:rPr>
          <w:sz w:val="24"/>
          <w:szCs w:val="24"/>
        </w:rPr>
        <w:t xml:space="preserve">mld. lei </w:t>
      </w:r>
      <w:r w:rsidR="00D44F86">
        <w:rPr>
          <w:sz w:val="24"/>
          <w:szCs w:val="24"/>
        </w:rPr>
        <w:t xml:space="preserve">relativ la execuția anului trecut). </w:t>
      </w:r>
      <w:r w:rsidR="003D31FE">
        <w:rPr>
          <w:sz w:val="24"/>
          <w:szCs w:val="24"/>
        </w:rPr>
        <w:t>Execuțiile bugetare istorice consemnează în mod constant deviații considerabile de la sumele bugetate inițial ori în urma rectificărilor bugetare în sensul unor cheltuieli de investiții inferioare alocărilor (vezi graficul inclus în anexă</w:t>
      </w:r>
      <w:r w:rsidR="002B0585">
        <w:rPr>
          <w:sz w:val="24"/>
          <w:szCs w:val="24"/>
        </w:rPr>
        <w:t>). O</w:t>
      </w:r>
      <w:r w:rsidR="003D31FE" w:rsidRPr="00913309">
        <w:rPr>
          <w:sz w:val="24"/>
          <w:szCs w:val="24"/>
        </w:rPr>
        <w:t xml:space="preserve"> evoluție similară </w:t>
      </w:r>
      <w:r w:rsidR="003D31FE">
        <w:rPr>
          <w:sz w:val="24"/>
          <w:szCs w:val="24"/>
        </w:rPr>
        <w:t>este probabilă pentru anul 2019</w:t>
      </w:r>
      <w:r w:rsidR="003D31FE" w:rsidRPr="00913309">
        <w:rPr>
          <w:sz w:val="24"/>
          <w:szCs w:val="24"/>
        </w:rPr>
        <w:t xml:space="preserve">, </w:t>
      </w:r>
      <w:r w:rsidR="003D31FE">
        <w:rPr>
          <w:sz w:val="24"/>
          <w:szCs w:val="24"/>
        </w:rPr>
        <w:t>cu atât mai mult cu cât</w:t>
      </w:r>
      <w:r w:rsidR="003D31FE" w:rsidRPr="00913309">
        <w:rPr>
          <w:sz w:val="24"/>
          <w:szCs w:val="24"/>
        </w:rPr>
        <w:t xml:space="preserve"> ipoteza îmbunătățirii</w:t>
      </w:r>
      <w:r w:rsidR="00F84640">
        <w:rPr>
          <w:sz w:val="24"/>
          <w:szCs w:val="24"/>
        </w:rPr>
        <w:t xml:space="preserve"> de amploare a</w:t>
      </w:r>
      <w:r w:rsidR="003D31FE" w:rsidRPr="00913309">
        <w:rPr>
          <w:sz w:val="24"/>
          <w:szCs w:val="24"/>
        </w:rPr>
        <w:t xml:space="preserve"> absorbției de fon</w:t>
      </w:r>
      <w:r w:rsidR="00F84640">
        <w:rPr>
          <w:sz w:val="24"/>
          <w:szCs w:val="24"/>
        </w:rPr>
        <w:t>duri structurale și de coeziune</w:t>
      </w:r>
      <w:r w:rsidR="003D31FE">
        <w:rPr>
          <w:sz w:val="24"/>
          <w:szCs w:val="24"/>
        </w:rPr>
        <w:t xml:space="preserve"> apare la acest moment drept excesiv de optimistă</w:t>
      </w:r>
      <w:r w:rsidR="003D31FE" w:rsidRPr="00913309">
        <w:rPr>
          <w:sz w:val="24"/>
          <w:szCs w:val="24"/>
        </w:rPr>
        <w:t xml:space="preserve"> </w:t>
      </w:r>
      <w:r w:rsidR="002B0585">
        <w:rPr>
          <w:sz w:val="24"/>
          <w:szCs w:val="24"/>
        </w:rPr>
        <w:t>(</w:t>
      </w:r>
      <w:r w:rsidR="003D31FE" w:rsidRPr="00913309">
        <w:rPr>
          <w:sz w:val="24"/>
          <w:szCs w:val="24"/>
        </w:rPr>
        <w:t>istoric, estimările inițiale de absorbție nu s-au materializat niciodată la nivelurile indicate</w:t>
      </w:r>
      <w:r w:rsidR="002B0585">
        <w:rPr>
          <w:sz w:val="24"/>
          <w:szCs w:val="24"/>
        </w:rPr>
        <w:t>)</w:t>
      </w:r>
      <w:r w:rsidR="003D31FE" w:rsidRPr="00913309">
        <w:rPr>
          <w:sz w:val="24"/>
          <w:szCs w:val="24"/>
        </w:rPr>
        <w:t xml:space="preserve">. </w:t>
      </w:r>
    </w:p>
    <w:p w:rsidR="00272785" w:rsidRDefault="00272785" w:rsidP="003D31FE">
      <w:pPr>
        <w:jc w:val="both"/>
        <w:rPr>
          <w:sz w:val="24"/>
          <w:szCs w:val="24"/>
        </w:rPr>
      </w:pPr>
      <w:r>
        <w:rPr>
          <w:sz w:val="24"/>
          <w:szCs w:val="24"/>
        </w:rPr>
        <w:t xml:space="preserve">Dată fiind dimensiunea probabilă a supraestimării veniturilor din TVA (cu circa 5 mld. lei) și </w:t>
      </w:r>
      <w:r w:rsidR="00F84640">
        <w:rPr>
          <w:sz w:val="24"/>
          <w:szCs w:val="24"/>
        </w:rPr>
        <w:t xml:space="preserve">a celor din </w:t>
      </w:r>
      <w:r>
        <w:rPr>
          <w:sz w:val="24"/>
          <w:szCs w:val="24"/>
        </w:rPr>
        <w:t>contribuții sociale</w:t>
      </w:r>
      <w:r w:rsidR="00BA4A91">
        <w:rPr>
          <w:sz w:val="24"/>
          <w:szCs w:val="24"/>
        </w:rPr>
        <w:t xml:space="preserve"> si impozit pe venit</w:t>
      </w:r>
      <w:r>
        <w:rPr>
          <w:sz w:val="24"/>
          <w:szCs w:val="24"/>
        </w:rPr>
        <w:t xml:space="preserve"> (cu circa 3,5 </w:t>
      </w:r>
      <w:r w:rsidR="00F84640">
        <w:rPr>
          <w:sz w:val="24"/>
          <w:szCs w:val="24"/>
        </w:rPr>
        <w:t>mld. lei</w:t>
      </w:r>
      <w:r>
        <w:rPr>
          <w:sz w:val="24"/>
          <w:szCs w:val="24"/>
        </w:rPr>
        <w:t>)</w:t>
      </w:r>
      <w:r w:rsidR="00BA4A91">
        <w:rPr>
          <w:rStyle w:val="FootnoteReference"/>
          <w:sz w:val="24"/>
          <w:szCs w:val="24"/>
        </w:rPr>
        <w:footnoteReference w:id="5"/>
      </w:r>
      <w:r w:rsidR="00F84640">
        <w:rPr>
          <w:sz w:val="24"/>
          <w:szCs w:val="24"/>
        </w:rPr>
        <w:t>, compensată</w:t>
      </w:r>
      <w:r>
        <w:rPr>
          <w:sz w:val="24"/>
          <w:szCs w:val="24"/>
        </w:rPr>
        <w:t xml:space="preserve"> parțial de veniturile din taxa pe activele sectorului bancar </w:t>
      </w:r>
      <w:r w:rsidR="00380A58">
        <w:rPr>
          <w:sz w:val="24"/>
          <w:szCs w:val="24"/>
        </w:rPr>
        <w:t xml:space="preserve">neluate </w:t>
      </w:r>
      <w:r w:rsidR="00F84640">
        <w:rPr>
          <w:sz w:val="24"/>
          <w:szCs w:val="24"/>
        </w:rPr>
        <w:t>î</w:t>
      </w:r>
      <w:r w:rsidR="00380A58">
        <w:rPr>
          <w:sz w:val="24"/>
          <w:szCs w:val="24"/>
        </w:rPr>
        <w:t xml:space="preserve">n calcul </w:t>
      </w:r>
      <w:r w:rsidR="00F84640">
        <w:rPr>
          <w:sz w:val="24"/>
          <w:szCs w:val="24"/>
        </w:rPr>
        <w:t>î</w:t>
      </w:r>
      <w:r w:rsidR="00380A58">
        <w:rPr>
          <w:sz w:val="24"/>
          <w:szCs w:val="24"/>
        </w:rPr>
        <w:t>n construc</w:t>
      </w:r>
      <w:r w:rsidR="00F84640">
        <w:rPr>
          <w:sz w:val="24"/>
          <w:szCs w:val="24"/>
        </w:rPr>
        <w:t>ț</w:t>
      </w:r>
      <w:r w:rsidR="00380A58">
        <w:rPr>
          <w:sz w:val="24"/>
          <w:szCs w:val="24"/>
        </w:rPr>
        <w:t>ia bugetar</w:t>
      </w:r>
      <w:r w:rsidR="00F84640">
        <w:rPr>
          <w:sz w:val="24"/>
          <w:szCs w:val="24"/>
        </w:rPr>
        <w:t>ă</w:t>
      </w:r>
      <w:r w:rsidR="00380A58">
        <w:rPr>
          <w:sz w:val="24"/>
          <w:szCs w:val="24"/>
        </w:rPr>
        <w:t xml:space="preserve"> </w:t>
      </w:r>
      <w:r>
        <w:rPr>
          <w:sz w:val="24"/>
          <w:szCs w:val="24"/>
        </w:rPr>
        <w:t>(pe care le evaluăm</w:t>
      </w:r>
      <w:r w:rsidR="00F84640">
        <w:rPr>
          <w:sz w:val="24"/>
          <w:szCs w:val="24"/>
        </w:rPr>
        <w:t xml:space="preserve">, în condițiile curente, la circa 4 mld. </w:t>
      </w:r>
      <w:r>
        <w:rPr>
          <w:sz w:val="24"/>
          <w:szCs w:val="24"/>
        </w:rPr>
        <w:t>lei), apreciem c</w:t>
      </w:r>
      <w:r w:rsidR="00F84640">
        <w:rPr>
          <w:sz w:val="24"/>
          <w:szCs w:val="24"/>
        </w:rPr>
        <w:t>ă</w:t>
      </w:r>
      <w:r>
        <w:rPr>
          <w:sz w:val="24"/>
          <w:szCs w:val="24"/>
        </w:rPr>
        <w:t xml:space="preserve">, în lipsa unor măsuri compensatorii suplimentare, </w:t>
      </w:r>
      <w:r w:rsidR="00F84640" w:rsidRPr="00F84640">
        <w:rPr>
          <w:sz w:val="24"/>
          <w:szCs w:val="24"/>
        </w:rPr>
        <w:t xml:space="preserve">este probabil ca </w:t>
      </w:r>
      <w:r>
        <w:rPr>
          <w:sz w:val="24"/>
          <w:szCs w:val="24"/>
        </w:rPr>
        <w:t>deficitul la finele anului curent să se situeze în imediata vecinătate a nivelului de 3% din PIB. De asemenea, ne reiterăm preocuparea față de riscul înregistrării unor evoluții macroeconomice semnificativ mai puțin favorabile decât cele luate în calcul în construcția bugetară, care ar conduce la presiuni suplimentare la adresa deficitului bugetar în anul 2019</w:t>
      </w:r>
      <w:r w:rsidR="00186EE6">
        <w:rPr>
          <w:sz w:val="24"/>
          <w:szCs w:val="24"/>
        </w:rPr>
        <w:t>, cu riscul dep</w:t>
      </w:r>
      <w:r w:rsidR="00F84640">
        <w:rPr>
          <w:sz w:val="24"/>
          <w:szCs w:val="24"/>
        </w:rPr>
        <w:t>ăș</w:t>
      </w:r>
      <w:r w:rsidR="00186EE6">
        <w:rPr>
          <w:sz w:val="24"/>
          <w:szCs w:val="24"/>
        </w:rPr>
        <w:t xml:space="preserve">irii nivelului de 3% din PIB </w:t>
      </w:r>
      <w:r w:rsidR="00F84640">
        <w:rPr>
          <w:sz w:val="24"/>
          <w:szCs w:val="24"/>
        </w:rPr>
        <w:t>î</w:t>
      </w:r>
      <w:r w:rsidR="00186EE6">
        <w:rPr>
          <w:sz w:val="24"/>
          <w:szCs w:val="24"/>
        </w:rPr>
        <w:t>n lipsa unor m</w:t>
      </w:r>
      <w:r w:rsidR="00F84640">
        <w:rPr>
          <w:sz w:val="24"/>
          <w:szCs w:val="24"/>
        </w:rPr>
        <w:t>ă</w:t>
      </w:r>
      <w:r w:rsidR="00186EE6">
        <w:rPr>
          <w:sz w:val="24"/>
          <w:szCs w:val="24"/>
        </w:rPr>
        <w:t>suri corective.</w:t>
      </w:r>
    </w:p>
    <w:p w:rsidR="002B0585" w:rsidRPr="00691C2B" w:rsidRDefault="002B0585" w:rsidP="002B0585">
      <w:pPr>
        <w:jc w:val="both"/>
        <w:rPr>
          <w:b/>
          <w:i/>
          <w:sz w:val="24"/>
          <w:szCs w:val="24"/>
        </w:rPr>
      </w:pPr>
      <w:r w:rsidRPr="00691C2B">
        <w:rPr>
          <w:b/>
          <w:i/>
          <w:sz w:val="24"/>
          <w:szCs w:val="24"/>
        </w:rPr>
        <w:t>Strategia fiscal-bugetară 2019-2021 - construcția bugetară dincolo de orizontul 2019</w:t>
      </w:r>
    </w:p>
    <w:p w:rsidR="002B0585" w:rsidRPr="00691C2B" w:rsidRDefault="002B0585" w:rsidP="002B0585">
      <w:pPr>
        <w:jc w:val="both"/>
        <w:rPr>
          <w:sz w:val="24"/>
          <w:szCs w:val="24"/>
        </w:rPr>
      </w:pPr>
      <w:r w:rsidRPr="00691C2B">
        <w:rPr>
          <w:sz w:val="24"/>
          <w:szCs w:val="24"/>
        </w:rPr>
        <w:t xml:space="preserve">Similar strategiilor fiscal-bugetare din anii precedenți, iterația curentă a SFB (2019-2021) relevă faptul că autoritățile sunt preocupate de primul an acoperit de aceasta, fără a acorda aceeași atenție proiecțiilor bugetare pe termen mediu, fiind manifestă tendința de genera cu </w:t>
      </w:r>
      <w:r w:rsidRPr="00691C2B">
        <w:rPr>
          <w:sz w:val="24"/>
          <w:szCs w:val="24"/>
        </w:rPr>
        <w:lastRenderedPageBreak/>
        <w:t>foarte mare ușurință consolidare fiscală pe termen mediu, în lipsa unei fundamentări riguroase a veniturilor și cheltuielilor și a unor detalii concrete asupra ipotezelor ce fundamentează traiectoriile agregatelor de venituri și cheltuieli</w:t>
      </w:r>
      <w:r w:rsidRPr="00691C2B">
        <w:rPr>
          <w:rStyle w:val="FootnoteReference"/>
          <w:sz w:val="24"/>
          <w:szCs w:val="24"/>
        </w:rPr>
        <w:footnoteReference w:id="6"/>
      </w:r>
      <w:r w:rsidRPr="00691C2B">
        <w:rPr>
          <w:sz w:val="24"/>
          <w:szCs w:val="24"/>
        </w:rPr>
        <w:t xml:space="preserve">. </w:t>
      </w:r>
    </w:p>
    <w:p w:rsidR="002B0585" w:rsidRPr="00232A1B" w:rsidRDefault="002B0585" w:rsidP="002B0585">
      <w:pPr>
        <w:jc w:val="both"/>
        <w:rPr>
          <w:sz w:val="24"/>
          <w:szCs w:val="24"/>
        </w:rPr>
      </w:pPr>
      <w:r w:rsidRPr="00232A1B">
        <w:rPr>
          <w:sz w:val="24"/>
          <w:szCs w:val="24"/>
        </w:rPr>
        <w:t xml:space="preserve">Dincolo de </w:t>
      </w:r>
      <w:r w:rsidR="00691C2B" w:rsidRPr="00232A1B">
        <w:rPr>
          <w:sz w:val="24"/>
          <w:szCs w:val="24"/>
        </w:rPr>
        <w:t>anul</w:t>
      </w:r>
      <w:r w:rsidRPr="00232A1B">
        <w:rPr>
          <w:sz w:val="24"/>
          <w:szCs w:val="24"/>
        </w:rPr>
        <w:t xml:space="preserve"> 201</w:t>
      </w:r>
      <w:r w:rsidR="00691C2B" w:rsidRPr="00232A1B">
        <w:rPr>
          <w:sz w:val="24"/>
          <w:szCs w:val="24"/>
        </w:rPr>
        <w:t>9</w:t>
      </w:r>
      <w:r w:rsidRPr="00232A1B">
        <w:rPr>
          <w:sz w:val="24"/>
          <w:szCs w:val="24"/>
        </w:rPr>
        <w:t xml:space="preserve">, </w:t>
      </w:r>
      <w:r w:rsidR="00F84640">
        <w:rPr>
          <w:sz w:val="24"/>
          <w:szCs w:val="24"/>
        </w:rPr>
        <w:t>pentru care</w:t>
      </w:r>
      <w:r w:rsidRPr="00232A1B">
        <w:rPr>
          <w:sz w:val="24"/>
          <w:szCs w:val="24"/>
        </w:rPr>
        <w:t xml:space="preserve"> deficitul structural este proiectat </w:t>
      </w:r>
      <w:r w:rsidR="00691C2B" w:rsidRPr="00232A1B">
        <w:rPr>
          <w:sz w:val="24"/>
          <w:szCs w:val="24"/>
        </w:rPr>
        <w:t xml:space="preserve">să se reducă cu </w:t>
      </w:r>
      <w:r w:rsidR="00B3109E" w:rsidRPr="00232A1B">
        <w:rPr>
          <w:sz w:val="24"/>
          <w:szCs w:val="24"/>
        </w:rPr>
        <w:t>0,27% din PIB,  în 2020 se anticipează o pauză în procesul de ajustare, în 2021 urmând să aibă loc o red</w:t>
      </w:r>
      <w:r w:rsidR="00122273">
        <w:rPr>
          <w:sz w:val="24"/>
          <w:szCs w:val="24"/>
        </w:rPr>
        <w:t>u</w:t>
      </w:r>
      <w:r w:rsidR="00B3109E" w:rsidRPr="00232A1B">
        <w:rPr>
          <w:sz w:val="24"/>
          <w:szCs w:val="24"/>
        </w:rPr>
        <w:t>cere cu doar 0,25% a deficitului structural. Drept</w:t>
      </w:r>
      <w:r w:rsidR="00232A1B" w:rsidRPr="00232A1B">
        <w:rPr>
          <w:sz w:val="24"/>
          <w:szCs w:val="24"/>
        </w:rPr>
        <w:t xml:space="preserve"> urmare</w:t>
      </w:r>
      <w:r w:rsidRPr="00232A1B">
        <w:rPr>
          <w:sz w:val="24"/>
          <w:szCs w:val="24"/>
        </w:rPr>
        <w:t>, la finele intervalului acoperit de strate</w:t>
      </w:r>
      <w:r w:rsidR="00232A1B" w:rsidRPr="00232A1B">
        <w:rPr>
          <w:sz w:val="24"/>
          <w:szCs w:val="24"/>
        </w:rPr>
        <w:t>gie persist</w:t>
      </w:r>
      <w:r w:rsidR="00F84640">
        <w:rPr>
          <w:sz w:val="24"/>
          <w:szCs w:val="24"/>
        </w:rPr>
        <w:t>ă</w:t>
      </w:r>
      <w:r w:rsidR="00232A1B" w:rsidRPr="00232A1B">
        <w:rPr>
          <w:sz w:val="24"/>
          <w:szCs w:val="24"/>
        </w:rPr>
        <w:t xml:space="preserve"> o deviație de 1,55</w:t>
      </w:r>
      <w:r w:rsidRPr="00232A1B">
        <w:rPr>
          <w:sz w:val="24"/>
          <w:szCs w:val="24"/>
        </w:rPr>
        <w:t xml:space="preserve"> pp. față de obiectivul pe termen mediu. </w:t>
      </w:r>
    </w:p>
    <w:p w:rsidR="00232A1B" w:rsidRPr="00232A1B" w:rsidRDefault="002B0585" w:rsidP="002B0585">
      <w:pPr>
        <w:jc w:val="both"/>
        <w:rPr>
          <w:sz w:val="24"/>
          <w:szCs w:val="24"/>
        </w:rPr>
      </w:pPr>
      <w:r w:rsidRPr="00232A1B">
        <w:rPr>
          <w:sz w:val="24"/>
          <w:szCs w:val="24"/>
        </w:rPr>
        <w:t>Consiliul fiscal are rezerve cu privire la dimensiunile pe termen mediu a</w:t>
      </w:r>
      <w:r w:rsidR="00232A1B" w:rsidRPr="00232A1B">
        <w:rPr>
          <w:sz w:val="24"/>
          <w:szCs w:val="24"/>
        </w:rPr>
        <w:t>le</w:t>
      </w:r>
      <w:r w:rsidRPr="00232A1B">
        <w:rPr>
          <w:sz w:val="24"/>
          <w:szCs w:val="24"/>
        </w:rPr>
        <w:t xml:space="preserve"> unor agregate de cheltuieli, ce apar drept neverosimil de mici raportate la ipotezele scenariul macroeconomic ce fundamentează proiecția bugetară pe termen mediu și alți parametri probabili ai construcției bugetare. Astfel, una din sursele </w:t>
      </w:r>
      <w:r w:rsidR="00F84640">
        <w:rPr>
          <w:sz w:val="24"/>
          <w:szCs w:val="24"/>
        </w:rPr>
        <w:t>importante</w:t>
      </w:r>
      <w:r w:rsidRPr="00232A1B">
        <w:rPr>
          <w:sz w:val="24"/>
          <w:szCs w:val="24"/>
        </w:rPr>
        <w:t xml:space="preserve"> de consolidare fiscală în anul 20</w:t>
      </w:r>
      <w:r w:rsidR="00232A1B" w:rsidRPr="00232A1B">
        <w:rPr>
          <w:sz w:val="24"/>
          <w:szCs w:val="24"/>
        </w:rPr>
        <w:t>20</w:t>
      </w:r>
      <w:r w:rsidRPr="00232A1B">
        <w:rPr>
          <w:sz w:val="24"/>
          <w:szCs w:val="24"/>
        </w:rPr>
        <w:t xml:space="preserve"> o reprezintă creșterea cu doar </w:t>
      </w:r>
      <w:r w:rsidR="00232A1B" w:rsidRPr="00232A1B">
        <w:rPr>
          <w:sz w:val="24"/>
          <w:szCs w:val="24"/>
        </w:rPr>
        <w:t>4</w:t>
      </w:r>
      <w:r w:rsidRPr="00232A1B">
        <w:rPr>
          <w:sz w:val="24"/>
          <w:szCs w:val="24"/>
        </w:rPr>
        <w:t>% a anvelopei s</w:t>
      </w:r>
      <w:r w:rsidR="00232A1B" w:rsidRPr="00232A1B">
        <w:rPr>
          <w:sz w:val="24"/>
          <w:szCs w:val="24"/>
        </w:rPr>
        <w:t>alariale comparativ cu anul 2019</w:t>
      </w:r>
      <w:r w:rsidRPr="00232A1B">
        <w:rPr>
          <w:sz w:val="24"/>
          <w:szCs w:val="24"/>
        </w:rPr>
        <w:t xml:space="preserve">, în condițiile în care scenariul macroeconomic indică o </w:t>
      </w:r>
      <w:r w:rsidR="00232A1B" w:rsidRPr="00232A1B">
        <w:rPr>
          <w:sz w:val="24"/>
          <w:szCs w:val="24"/>
        </w:rPr>
        <w:t>creștere</w:t>
      </w:r>
      <w:r w:rsidRPr="00232A1B">
        <w:rPr>
          <w:sz w:val="24"/>
          <w:szCs w:val="24"/>
        </w:rPr>
        <w:t xml:space="preserve"> a salariilor în sectorul public (în versiunea restrâns</w:t>
      </w:r>
      <w:r w:rsidR="00232A1B" w:rsidRPr="00232A1B">
        <w:rPr>
          <w:sz w:val="24"/>
          <w:szCs w:val="24"/>
        </w:rPr>
        <w:t>ă ce exclude forțele armate și p</w:t>
      </w:r>
      <w:r w:rsidRPr="00232A1B">
        <w:rPr>
          <w:sz w:val="24"/>
          <w:szCs w:val="24"/>
        </w:rPr>
        <w:t xml:space="preserve">ersonalul asimilat) de </w:t>
      </w:r>
      <w:r w:rsidR="00232A1B" w:rsidRPr="00232A1B">
        <w:rPr>
          <w:sz w:val="24"/>
          <w:szCs w:val="24"/>
        </w:rPr>
        <w:t>8,2</w:t>
      </w:r>
      <w:r w:rsidRPr="00232A1B">
        <w:rPr>
          <w:sz w:val="24"/>
          <w:szCs w:val="24"/>
        </w:rPr>
        <w:t>%,</w:t>
      </w:r>
      <w:r w:rsidR="00232A1B" w:rsidRPr="00232A1B">
        <w:rPr>
          <w:sz w:val="24"/>
          <w:szCs w:val="24"/>
        </w:rPr>
        <w:t xml:space="preserve"> căreia i se adaugă o creștere a </w:t>
      </w:r>
      <w:r w:rsidR="004F3296">
        <w:rPr>
          <w:sz w:val="24"/>
          <w:szCs w:val="24"/>
        </w:rPr>
        <w:t>num</w:t>
      </w:r>
      <w:r w:rsidR="00F84640">
        <w:rPr>
          <w:sz w:val="24"/>
          <w:szCs w:val="24"/>
        </w:rPr>
        <w:t>ă</w:t>
      </w:r>
      <w:r w:rsidR="004F3296">
        <w:rPr>
          <w:sz w:val="24"/>
          <w:szCs w:val="24"/>
        </w:rPr>
        <w:t xml:space="preserve">rului de </w:t>
      </w:r>
      <w:r w:rsidR="00232A1B" w:rsidRPr="00232A1B">
        <w:rPr>
          <w:sz w:val="24"/>
          <w:szCs w:val="24"/>
        </w:rPr>
        <w:t>salariați din sectorul public de 1,9%.</w:t>
      </w:r>
      <w:r w:rsidR="00B63B41">
        <w:rPr>
          <w:sz w:val="24"/>
          <w:szCs w:val="24"/>
        </w:rPr>
        <w:t xml:space="preserve"> </w:t>
      </w:r>
      <w:r w:rsidRPr="00232A1B">
        <w:rPr>
          <w:sz w:val="24"/>
          <w:szCs w:val="24"/>
        </w:rPr>
        <w:t>Dacă am presupune că dinamica a</w:t>
      </w:r>
      <w:r w:rsidR="00787D43">
        <w:rPr>
          <w:sz w:val="24"/>
          <w:szCs w:val="24"/>
        </w:rPr>
        <w:t>n</w:t>
      </w:r>
      <w:r w:rsidRPr="00232A1B">
        <w:rPr>
          <w:sz w:val="24"/>
          <w:szCs w:val="24"/>
        </w:rPr>
        <w:t xml:space="preserve">velopei salariale ar fi de </w:t>
      </w:r>
      <w:r w:rsidR="00232A1B" w:rsidRPr="00232A1B">
        <w:rPr>
          <w:sz w:val="24"/>
          <w:szCs w:val="24"/>
        </w:rPr>
        <w:t>circa 10</w:t>
      </w:r>
      <w:r w:rsidRPr="00232A1B">
        <w:rPr>
          <w:sz w:val="24"/>
          <w:szCs w:val="24"/>
        </w:rPr>
        <w:t>%, în linie cu cea preconizată pentru salariul mediu</w:t>
      </w:r>
      <w:r w:rsidR="00232A1B" w:rsidRPr="00232A1B">
        <w:rPr>
          <w:sz w:val="24"/>
          <w:szCs w:val="24"/>
        </w:rPr>
        <w:t xml:space="preserve"> și numărul de salariați </w:t>
      </w:r>
      <w:r w:rsidRPr="00232A1B">
        <w:rPr>
          <w:sz w:val="24"/>
          <w:szCs w:val="24"/>
        </w:rPr>
        <w:t xml:space="preserve">pentru sectorul public (în sens restrâns), cuantumul cheltuielilor de personal ar fi cu circa 6 </w:t>
      </w:r>
      <w:r w:rsidR="00F84640">
        <w:rPr>
          <w:sz w:val="24"/>
          <w:szCs w:val="24"/>
        </w:rPr>
        <w:t>mld. lei</w:t>
      </w:r>
      <w:r w:rsidR="00232A1B" w:rsidRPr="00232A1B">
        <w:rPr>
          <w:sz w:val="24"/>
          <w:szCs w:val="24"/>
        </w:rPr>
        <w:t xml:space="preserve"> (0,55</w:t>
      </w:r>
      <w:r w:rsidRPr="00232A1B">
        <w:rPr>
          <w:sz w:val="24"/>
          <w:szCs w:val="24"/>
        </w:rPr>
        <w:t>% din PIB) mai mare decât cel avansat în proiecția de cheltuieli a anului 20</w:t>
      </w:r>
      <w:r w:rsidR="00232A1B" w:rsidRPr="00232A1B">
        <w:rPr>
          <w:sz w:val="24"/>
          <w:szCs w:val="24"/>
        </w:rPr>
        <w:t>20</w:t>
      </w:r>
      <w:r w:rsidRPr="00232A1B">
        <w:rPr>
          <w:sz w:val="24"/>
          <w:szCs w:val="24"/>
        </w:rPr>
        <w:t>, ceea ce</w:t>
      </w:r>
      <w:r w:rsidRPr="00232A1B">
        <w:rPr>
          <w:i/>
          <w:sz w:val="24"/>
          <w:szCs w:val="24"/>
        </w:rPr>
        <w:t>, c</w:t>
      </w:r>
      <w:r w:rsidR="00F84640">
        <w:rPr>
          <w:i/>
          <w:sz w:val="24"/>
          <w:szCs w:val="24"/>
        </w:rPr>
        <w:t>a</w:t>
      </w:r>
      <w:r w:rsidRPr="00232A1B">
        <w:rPr>
          <w:i/>
          <w:sz w:val="24"/>
          <w:szCs w:val="24"/>
        </w:rPr>
        <w:t>eteris paribus</w:t>
      </w:r>
      <w:r w:rsidRPr="00232A1B">
        <w:rPr>
          <w:sz w:val="24"/>
          <w:szCs w:val="24"/>
        </w:rPr>
        <w:t>, ar determina o lărgire</w:t>
      </w:r>
      <w:r w:rsidR="00232A1B" w:rsidRPr="00232A1B">
        <w:rPr>
          <w:sz w:val="24"/>
          <w:szCs w:val="24"/>
        </w:rPr>
        <w:t xml:space="preserve"> echivalentă</w:t>
      </w:r>
      <w:r w:rsidRPr="00232A1B">
        <w:rPr>
          <w:sz w:val="24"/>
          <w:szCs w:val="24"/>
        </w:rPr>
        <w:t xml:space="preserve"> a deficitului</w:t>
      </w:r>
      <w:r w:rsidR="00232A1B" w:rsidRPr="00232A1B">
        <w:rPr>
          <w:sz w:val="24"/>
          <w:szCs w:val="24"/>
        </w:rPr>
        <w:t xml:space="preserve"> efectiv și a celui structural</w:t>
      </w:r>
      <w:r w:rsidRPr="00232A1B">
        <w:rPr>
          <w:sz w:val="24"/>
          <w:szCs w:val="24"/>
        </w:rPr>
        <w:t>. De precizat că salariul mediu pe economie, folosit în proiecția veniturilor din contribuții sociale și a celor aferente impozitului pe venit, depinde de dimensiunea luată în considerare pentru dinamica salariului din sectorul bugetar</w:t>
      </w:r>
      <w:r w:rsidR="00232A1B" w:rsidRPr="00232A1B">
        <w:rPr>
          <w:sz w:val="24"/>
          <w:szCs w:val="24"/>
        </w:rPr>
        <w:t>, același lucru întâmplându-se și în ceea</w:t>
      </w:r>
      <w:r w:rsidR="00787D43">
        <w:rPr>
          <w:sz w:val="24"/>
          <w:szCs w:val="24"/>
        </w:rPr>
        <w:t xml:space="preserve"> </w:t>
      </w:r>
      <w:r w:rsidR="00232A1B" w:rsidRPr="00232A1B">
        <w:rPr>
          <w:sz w:val="24"/>
          <w:szCs w:val="24"/>
        </w:rPr>
        <w:t>ce privește evoluția numărului de salariați din economie</w:t>
      </w:r>
      <w:r w:rsidRPr="00232A1B">
        <w:rPr>
          <w:sz w:val="24"/>
          <w:szCs w:val="24"/>
        </w:rPr>
        <w:t xml:space="preserve">. </w:t>
      </w:r>
      <w:r w:rsidR="00C24B87">
        <w:rPr>
          <w:sz w:val="24"/>
          <w:szCs w:val="24"/>
        </w:rPr>
        <w:t>Aplicând același raționament la nivelul anului 2021</w:t>
      </w:r>
      <w:r w:rsidR="00273016">
        <w:rPr>
          <w:sz w:val="24"/>
          <w:szCs w:val="24"/>
        </w:rPr>
        <w:t xml:space="preserve">, diferența la nivelul anvelopei salariale din sectorul bugetar comparativ cu cifra din proiectul de buget ar ajunge la la circa 14,7 </w:t>
      </w:r>
      <w:r w:rsidR="00F84640">
        <w:rPr>
          <w:sz w:val="24"/>
          <w:szCs w:val="24"/>
        </w:rPr>
        <w:t>mld. lei</w:t>
      </w:r>
      <w:r w:rsidR="00F84640" w:rsidRPr="00232A1B">
        <w:rPr>
          <w:sz w:val="24"/>
          <w:szCs w:val="24"/>
        </w:rPr>
        <w:t xml:space="preserve"> </w:t>
      </w:r>
      <w:r w:rsidR="00273016">
        <w:rPr>
          <w:sz w:val="24"/>
          <w:szCs w:val="24"/>
        </w:rPr>
        <w:t>(ori 1,25% din PIB).</w:t>
      </w:r>
    </w:p>
    <w:p w:rsidR="002B0585" w:rsidRPr="001F5C05" w:rsidRDefault="002B0585" w:rsidP="002B0585">
      <w:pPr>
        <w:jc w:val="both"/>
        <w:rPr>
          <w:sz w:val="24"/>
          <w:szCs w:val="24"/>
        </w:rPr>
      </w:pPr>
      <w:r w:rsidRPr="001F5C05">
        <w:rPr>
          <w:sz w:val="24"/>
          <w:szCs w:val="24"/>
        </w:rPr>
        <w:t xml:space="preserve">Un alt element de natură să ridice probleme în proiecția pe termen mediu apare la nivelul cheltuielilor de asistență socială ale BASS, unde creșterile luate în calcul nu apar concordante cu evoluțiile </w:t>
      </w:r>
      <w:r w:rsidR="00273016" w:rsidRPr="001F5C05">
        <w:rPr>
          <w:sz w:val="24"/>
          <w:szCs w:val="24"/>
        </w:rPr>
        <w:t>preconizate de noua lege a pensiilor aprobată de Parlament în anii 2020 și 2021. Astfel</w:t>
      </w:r>
      <w:r w:rsidRPr="001F5C05">
        <w:rPr>
          <w:sz w:val="24"/>
          <w:szCs w:val="24"/>
        </w:rPr>
        <w:t xml:space="preserve">, dinamicile preconizate apar drept inferioare celor care ar prevala în ipoteza în care punctul de pensie ar evolua conform traiectoriei descrise în </w:t>
      </w:r>
      <w:r w:rsidR="00273016" w:rsidRPr="001F5C05">
        <w:rPr>
          <w:sz w:val="24"/>
          <w:szCs w:val="24"/>
        </w:rPr>
        <w:t>actul normative mai sus menționat</w:t>
      </w:r>
      <w:r w:rsidRPr="001F5C05">
        <w:rPr>
          <w:sz w:val="24"/>
          <w:szCs w:val="24"/>
        </w:rPr>
        <w:t>, ce prevede valori ale acestuia de 1</w:t>
      </w:r>
      <w:r w:rsidR="00273016" w:rsidRPr="001F5C05">
        <w:rPr>
          <w:sz w:val="24"/>
          <w:szCs w:val="24"/>
        </w:rPr>
        <w:t>775</w:t>
      </w:r>
      <w:r w:rsidRPr="001F5C05">
        <w:rPr>
          <w:sz w:val="24"/>
          <w:szCs w:val="24"/>
        </w:rPr>
        <w:t xml:space="preserve"> de lei de la 1 </w:t>
      </w:r>
      <w:r w:rsidR="00273016" w:rsidRPr="001F5C05">
        <w:rPr>
          <w:sz w:val="24"/>
          <w:szCs w:val="24"/>
        </w:rPr>
        <w:t>septembrie</w:t>
      </w:r>
      <w:r w:rsidRPr="001F5C05">
        <w:rPr>
          <w:sz w:val="24"/>
          <w:szCs w:val="24"/>
        </w:rPr>
        <w:t xml:space="preserve"> 20</w:t>
      </w:r>
      <w:r w:rsidR="00273016" w:rsidRPr="001F5C05">
        <w:rPr>
          <w:sz w:val="24"/>
          <w:szCs w:val="24"/>
        </w:rPr>
        <w:t>20</w:t>
      </w:r>
      <w:r w:rsidRPr="001F5C05">
        <w:rPr>
          <w:sz w:val="24"/>
          <w:szCs w:val="24"/>
        </w:rPr>
        <w:t xml:space="preserve"> și de 1</w:t>
      </w:r>
      <w:r w:rsidR="00273016" w:rsidRPr="001F5C05">
        <w:rPr>
          <w:sz w:val="24"/>
          <w:szCs w:val="24"/>
        </w:rPr>
        <w:t>875</w:t>
      </w:r>
      <w:r w:rsidRPr="001F5C05">
        <w:rPr>
          <w:sz w:val="24"/>
          <w:szCs w:val="24"/>
        </w:rPr>
        <w:t xml:space="preserve"> de lei de la 1 </w:t>
      </w:r>
      <w:r w:rsidR="00273016" w:rsidRPr="001F5C05">
        <w:rPr>
          <w:sz w:val="24"/>
          <w:szCs w:val="24"/>
        </w:rPr>
        <w:t>septembrie 2021</w:t>
      </w:r>
      <w:r w:rsidRPr="001F5C05">
        <w:rPr>
          <w:sz w:val="24"/>
          <w:szCs w:val="24"/>
        </w:rPr>
        <w:t>. Ace</w:t>
      </w:r>
      <w:r w:rsidR="00787D43">
        <w:rPr>
          <w:sz w:val="24"/>
          <w:szCs w:val="24"/>
        </w:rPr>
        <w:t>a</w:t>
      </w:r>
      <w:r w:rsidRPr="001F5C05">
        <w:rPr>
          <w:sz w:val="24"/>
          <w:szCs w:val="24"/>
        </w:rPr>
        <w:t xml:space="preserve">stă traiectorie ar implica creșteri medii de </w:t>
      </w:r>
      <w:r w:rsidR="00273016" w:rsidRPr="001F5C05">
        <w:rPr>
          <w:sz w:val="24"/>
          <w:szCs w:val="24"/>
        </w:rPr>
        <w:t>24.2</w:t>
      </w:r>
      <w:r w:rsidRPr="001F5C05">
        <w:rPr>
          <w:sz w:val="24"/>
          <w:szCs w:val="24"/>
        </w:rPr>
        <w:t xml:space="preserve">% și </w:t>
      </w:r>
      <w:r w:rsidR="00273016" w:rsidRPr="001F5C05">
        <w:rPr>
          <w:sz w:val="24"/>
          <w:szCs w:val="24"/>
        </w:rPr>
        <w:t>26% în 2020 și, respectiv, 2021</w:t>
      </w:r>
      <w:r w:rsidRPr="001F5C05">
        <w:rPr>
          <w:sz w:val="24"/>
          <w:szCs w:val="24"/>
        </w:rPr>
        <w:t xml:space="preserve">, în timp ce dinamica preconizată a cheltuielilor de asistență </w:t>
      </w:r>
      <w:r w:rsidRPr="001F5C05">
        <w:rPr>
          <w:sz w:val="24"/>
          <w:szCs w:val="24"/>
        </w:rPr>
        <w:lastRenderedPageBreak/>
        <w:t xml:space="preserve">socială ale BASS este de doar </w:t>
      </w:r>
      <w:r w:rsidR="001F5C05" w:rsidRPr="001F5C05">
        <w:rPr>
          <w:sz w:val="24"/>
          <w:szCs w:val="24"/>
        </w:rPr>
        <w:t>20,4</w:t>
      </w:r>
      <w:r w:rsidRPr="001F5C05">
        <w:rPr>
          <w:sz w:val="24"/>
          <w:szCs w:val="24"/>
        </w:rPr>
        <w:t>% și</w:t>
      </w:r>
      <w:r w:rsidR="001F5C05" w:rsidRPr="001F5C05">
        <w:rPr>
          <w:sz w:val="24"/>
          <w:szCs w:val="24"/>
        </w:rPr>
        <w:t>,</w:t>
      </w:r>
      <w:r w:rsidRPr="001F5C05">
        <w:rPr>
          <w:sz w:val="24"/>
          <w:szCs w:val="24"/>
        </w:rPr>
        <w:t xml:space="preserve"> </w:t>
      </w:r>
      <w:r w:rsidR="001F5C05" w:rsidRPr="001F5C05">
        <w:rPr>
          <w:sz w:val="24"/>
          <w:szCs w:val="24"/>
        </w:rPr>
        <w:t xml:space="preserve">respectiv, </w:t>
      </w:r>
      <w:r w:rsidRPr="001F5C05">
        <w:rPr>
          <w:sz w:val="24"/>
          <w:szCs w:val="24"/>
        </w:rPr>
        <w:t>8</w:t>
      </w:r>
      <w:r w:rsidR="001F5C05" w:rsidRPr="001F5C05">
        <w:rPr>
          <w:sz w:val="24"/>
          <w:szCs w:val="24"/>
        </w:rPr>
        <w:t>,9</w:t>
      </w:r>
      <w:r w:rsidRPr="001F5C05">
        <w:rPr>
          <w:sz w:val="24"/>
          <w:szCs w:val="24"/>
        </w:rPr>
        <w:t>%. Con</w:t>
      </w:r>
      <w:r w:rsidR="00787D43">
        <w:rPr>
          <w:sz w:val="24"/>
          <w:szCs w:val="24"/>
        </w:rPr>
        <w:t>f</w:t>
      </w:r>
      <w:r w:rsidRPr="001F5C05">
        <w:rPr>
          <w:sz w:val="24"/>
          <w:szCs w:val="24"/>
        </w:rPr>
        <w:t xml:space="preserve">orm traiectoriei mai sus descrise a punctului de pensie, </w:t>
      </w:r>
      <w:r w:rsidR="001F5C05" w:rsidRPr="001F5C05">
        <w:rPr>
          <w:sz w:val="24"/>
          <w:szCs w:val="24"/>
        </w:rPr>
        <w:t xml:space="preserve">cheltuielile ar </w:t>
      </w:r>
      <w:r w:rsidR="007B2CE9">
        <w:rPr>
          <w:sz w:val="24"/>
          <w:szCs w:val="24"/>
        </w:rPr>
        <w:t xml:space="preserve">trebui sa </w:t>
      </w:r>
      <w:r w:rsidR="001F5C05" w:rsidRPr="001F5C05">
        <w:rPr>
          <w:sz w:val="24"/>
          <w:szCs w:val="24"/>
        </w:rPr>
        <w:t>fi</w:t>
      </w:r>
      <w:r w:rsidR="007B2CE9">
        <w:rPr>
          <w:sz w:val="24"/>
          <w:szCs w:val="24"/>
        </w:rPr>
        <w:t>e</w:t>
      </w:r>
      <w:r w:rsidR="001F5C05" w:rsidRPr="001F5C05">
        <w:rPr>
          <w:sz w:val="24"/>
          <w:szCs w:val="24"/>
        </w:rPr>
        <w:t xml:space="preserve"> mai mari </w:t>
      </w:r>
      <w:r w:rsidR="004445A0">
        <w:rPr>
          <w:sz w:val="24"/>
          <w:szCs w:val="24"/>
        </w:rPr>
        <w:t>dec</w:t>
      </w:r>
      <w:r w:rsidR="00ED2CDC">
        <w:rPr>
          <w:sz w:val="24"/>
          <w:szCs w:val="24"/>
        </w:rPr>
        <w:t>â</w:t>
      </w:r>
      <w:r w:rsidR="004445A0">
        <w:rPr>
          <w:sz w:val="24"/>
          <w:szCs w:val="24"/>
        </w:rPr>
        <w:t xml:space="preserve">t cele prognozate </w:t>
      </w:r>
      <w:r w:rsidR="001F5C05" w:rsidRPr="001F5C05">
        <w:rPr>
          <w:sz w:val="24"/>
          <w:szCs w:val="24"/>
        </w:rPr>
        <w:t>cu 2</w:t>
      </w:r>
      <w:r w:rsidRPr="001F5C05">
        <w:rPr>
          <w:sz w:val="24"/>
          <w:szCs w:val="24"/>
        </w:rPr>
        <w:t>,</w:t>
      </w:r>
      <w:r w:rsidR="001F5C05" w:rsidRPr="001F5C05">
        <w:rPr>
          <w:sz w:val="24"/>
          <w:szCs w:val="24"/>
        </w:rPr>
        <w:t>6</w:t>
      </w:r>
      <w:r w:rsidRPr="001F5C05">
        <w:rPr>
          <w:sz w:val="24"/>
          <w:szCs w:val="24"/>
        </w:rPr>
        <w:t xml:space="preserve">5 </w:t>
      </w:r>
      <w:r w:rsidR="00CD657E">
        <w:rPr>
          <w:sz w:val="24"/>
          <w:szCs w:val="24"/>
        </w:rPr>
        <w:t>mld.</w:t>
      </w:r>
      <w:r w:rsidR="001F5C05" w:rsidRPr="001F5C05">
        <w:rPr>
          <w:sz w:val="24"/>
          <w:szCs w:val="24"/>
        </w:rPr>
        <w:t xml:space="preserve"> lei (0,24% din PIB) în 2020</w:t>
      </w:r>
      <w:r w:rsidRPr="001F5C05">
        <w:rPr>
          <w:sz w:val="24"/>
          <w:szCs w:val="24"/>
        </w:rPr>
        <w:t xml:space="preserve"> și cu </w:t>
      </w:r>
      <w:r w:rsidR="00ED2CDC">
        <w:rPr>
          <w:sz w:val="24"/>
          <w:szCs w:val="24"/>
        </w:rPr>
        <w:t xml:space="preserve">17,7 </w:t>
      </w:r>
      <w:r w:rsidR="00CD657E">
        <w:rPr>
          <w:sz w:val="24"/>
          <w:szCs w:val="24"/>
        </w:rPr>
        <w:t xml:space="preserve">mld. </w:t>
      </w:r>
      <w:r w:rsidR="00ED2CDC">
        <w:rPr>
          <w:sz w:val="24"/>
          <w:szCs w:val="24"/>
        </w:rPr>
        <w:t>lei (1</w:t>
      </w:r>
      <w:r w:rsidR="00D40BB7">
        <w:rPr>
          <w:sz w:val="24"/>
          <w:szCs w:val="24"/>
        </w:rPr>
        <w:t>,</w:t>
      </w:r>
      <w:r w:rsidR="00ED2CDC">
        <w:rPr>
          <w:sz w:val="24"/>
          <w:szCs w:val="24"/>
        </w:rPr>
        <w:t>5</w:t>
      </w:r>
      <w:r w:rsidR="001F5C05" w:rsidRPr="001F5C05">
        <w:rPr>
          <w:sz w:val="24"/>
          <w:szCs w:val="24"/>
        </w:rPr>
        <w:t>% din PIB) în 2021</w:t>
      </w:r>
      <w:r w:rsidRPr="001F5C05">
        <w:rPr>
          <w:sz w:val="24"/>
          <w:szCs w:val="24"/>
        </w:rPr>
        <w:t xml:space="preserve">. </w:t>
      </w:r>
    </w:p>
    <w:p w:rsidR="002B0585" w:rsidRPr="0066294E" w:rsidRDefault="001F5C05" w:rsidP="002B0585">
      <w:pPr>
        <w:jc w:val="both"/>
        <w:rPr>
          <w:sz w:val="24"/>
          <w:szCs w:val="24"/>
        </w:rPr>
      </w:pPr>
      <w:r w:rsidRPr="0066294E">
        <w:rPr>
          <w:sz w:val="24"/>
          <w:szCs w:val="24"/>
        </w:rPr>
        <w:t>Obiecțiile formulate cu privire la dinamica excesivă luată în calcul în 2019 pentru numărul salariaților din sectorul privat rămâ</w:t>
      </w:r>
      <w:r w:rsidR="00787D43">
        <w:rPr>
          <w:sz w:val="24"/>
          <w:szCs w:val="24"/>
        </w:rPr>
        <w:t>n</w:t>
      </w:r>
      <w:r w:rsidRPr="0066294E">
        <w:rPr>
          <w:sz w:val="24"/>
          <w:szCs w:val="24"/>
        </w:rPr>
        <w:t xml:space="preserve"> relevante și pentru ipotezele aferente anilor 2020 și 2021. În eventualitatea situării acestora la niveluri apropiate de 2% (în loc de 3,6% și 3,5%), supraestimării de circa 3,5 mld. lei aparentă la nivelul anului 2019, </w:t>
      </w:r>
      <w:r w:rsidR="0066294E" w:rsidRPr="0066294E">
        <w:rPr>
          <w:sz w:val="24"/>
          <w:szCs w:val="24"/>
        </w:rPr>
        <w:t>preluată în proiecții prin extrapolare, i</w:t>
      </w:r>
      <w:r w:rsidRPr="0066294E">
        <w:rPr>
          <w:sz w:val="24"/>
          <w:szCs w:val="24"/>
        </w:rPr>
        <w:t xml:space="preserve"> se vor</w:t>
      </w:r>
      <w:r w:rsidR="0066294E" w:rsidRPr="0066294E">
        <w:rPr>
          <w:sz w:val="24"/>
          <w:szCs w:val="24"/>
        </w:rPr>
        <w:t xml:space="preserve"> adăuga  încă 1,2 </w:t>
      </w:r>
      <w:r w:rsidR="00CD657E">
        <w:rPr>
          <w:sz w:val="24"/>
          <w:szCs w:val="24"/>
        </w:rPr>
        <w:t>mld.</w:t>
      </w:r>
      <w:r w:rsidR="0066294E" w:rsidRPr="0066294E">
        <w:rPr>
          <w:sz w:val="24"/>
          <w:szCs w:val="24"/>
        </w:rPr>
        <w:t xml:space="preserve"> în 2020 și 2,5 </w:t>
      </w:r>
      <w:r w:rsidR="00CD657E">
        <w:rPr>
          <w:sz w:val="24"/>
          <w:szCs w:val="24"/>
        </w:rPr>
        <w:t>mld.</w:t>
      </w:r>
      <w:r w:rsidR="0066294E" w:rsidRPr="0066294E">
        <w:rPr>
          <w:sz w:val="24"/>
          <w:szCs w:val="24"/>
        </w:rPr>
        <w:t xml:space="preserve"> în 2021.</w:t>
      </w:r>
    </w:p>
    <w:p w:rsidR="002B0585" w:rsidRPr="0066294E" w:rsidRDefault="002B0585" w:rsidP="002B0585">
      <w:pPr>
        <w:jc w:val="both"/>
        <w:rPr>
          <w:sz w:val="24"/>
          <w:szCs w:val="24"/>
        </w:rPr>
      </w:pPr>
      <w:r w:rsidRPr="0066294E">
        <w:rPr>
          <w:sz w:val="24"/>
          <w:szCs w:val="24"/>
        </w:rPr>
        <w:t xml:space="preserve">Având în vedere cele de mai sus, </w:t>
      </w:r>
      <w:r w:rsidR="0066294E" w:rsidRPr="0066294E">
        <w:rPr>
          <w:sz w:val="24"/>
          <w:szCs w:val="24"/>
        </w:rPr>
        <w:t xml:space="preserve">precum și </w:t>
      </w:r>
      <w:r w:rsidRPr="0066294E">
        <w:rPr>
          <w:sz w:val="24"/>
          <w:szCs w:val="24"/>
        </w:rPr>
        <w:t xml:space="preserve">caracterul extrem de favorabil al traiectoriei de creștere economică proiectate pe </w:t>
      </w:r>
      <w:r w:rsidR="00787D43">
        <w:rPr>
          <w:sz w:val="24"/>
          <w:szCs w:val="24"/>
        </w:rPr>
        <w:t>t</w:t>
      </w:r>
      <w:r w:rsidRPr="0066294E">
        <w:rPr>
          <w:sz w:val="24"/>
          <w:szCs w:val="24"/>
        </w:rPr>
        <w:t xml:space="preserve">ermen mediu, Consiliul fiscal apreciază că, în ipoteza unor politici fiscal-bugetare nemodificate, balanța riscurilor este înclinată covârșitor în direcția înregistrării unor deficite </w:t>
      </w:r>
      <w:r w:rsidR="004F3296">
        <w:rPr>
          <w:sz w:val="24"/>
          <w:szCs w:val="24"/>
        </w:rPr>
        <w:t xml:space="preserve">mult </w:t>
      </w:r>
      <w:r w:rsidRPr="0066294E">
        <w:rPr>
          <w:sz w:val="24"/>
          <w:szCs w:val="24"/>
        </w:rPr>
        <w:t>mai ridicate decât cele preconizate de Strategia Fiscal-Bugetară 201</w:t>
      </w:r>
      <w:r w:rsidR="0066294E" w:rsidRPr="0066294E">
        <w:rPr>
          <w:sz w:val="24"/>
          <w:szCs w:val="24"/>
        </w:rPr>
        <w:t xml:space="preserve">9-2021, semnificativ </w:t>
      </w:r>
      <w:r w:rsidR="001E1001">
        <w:rPr>
          <w:sz w:val="24"/>
          <w:szCs w:val="24"/>
        </w:rPr>
        <w:t>mai mari dec</w:t>
      </w:r>
      <w:r w:rsidR="00ED2CDC">
        <w:rPr>
          <w:sz w:val="24"/>
          <w:szCs w:val="24"/>
        </w:rPr>
        <w:t>â</w:t>
      </w:r>
      <w:r w:rsidR="001E1001">
        <w:rPr>
          <w:sz w:val="24"/>
          <w:szCs w:val="24"/>
        </w:rPr>
        <w:t>t</w:t>
      </w:r>
      <w:r w:rsidR="001E1001" w:rsidRPr="0066294E">
        <w:rPr>
          <w:sz w:val="24"/>
          <w:szCs w:val="24"/>
        </w:rPr>
        <w:t xml:space="preserve"> </w:t>
      </w:r>
      <w:r w:rsidR="00ED2CDC">
        <w:rPr>
          <w:sz w:val="24"/>
          <w:szCs w:val="24"/>
        </w:rPr>
        <w:t>nivelul</w:t>
      </w:r>
      <w:r w:rsidR="0066294E" w:rsidRPr="0066294E">
        <w:rPr>
          <w:sz w:val="24"/>
          <w:szCs w:val="24"/>
        </w:rPr>
        <w:t xml:space="preserve"> de referință  aferen</w:t>
      </w:r>
      <w:r w:rsidR="00ED2CDC">
        <w:rPr>
          <w:sz w:val="24"/>
          <w:szCs w:val="24"/>
        </w:rPr>
        <w:t>t brațului corectiv al Pactului</w:t>
      </w:r>
      <w:r w:rsidR="0066294E" w:rsidRPr="0066294E">
        <w:rPr>
          <w:sz w:val="24"/>
          <w:szCs w:val="24"/>
        </w:rPr>
        <w:t xml:space="preserve"> de Stabilitate și Creștere de 3% din PIB</w:t>
      </w:r>
      <w:r w:rsidRPr="0066294E">
        <w:rPr>
          <w:sz w:val="24"/>
          <w:szCs w:val="24"/>
        </w:rPr>
        <w:t xml:space="preserve">.   </w:t>
      </w:r>
    </w:p>
    <w:p w:rsidR="0066294E" w:rsidRPr="0066294E" w:rsidRDefault="0066294E" w:rsidP="0066294E">
      <w:pPr>
        <w:jc w:val="both"/>
        <w:rPr>
          <w:rFonts w:cstheme="minorHAnsi"/>
          <w:sz w:val="24"/>
          <w:szCs w:val="24"/>
        </w:rPr>
      </w:pPr>
      <w:r w:rsidRPr="0066294E">
        <w:rPr>
          <w:rFonts w:cstheme="minorHAnsi"/>
          <w:sz w:val="24"/>
          <w:szCs w:val="24"/>
        </w:rPr>
        <w:t>Opiniile şi recomandările formulate mai sus de Consiliul fiscal au fost aprobate de Președintele Consiliului fiscal, conform prevederilor art. 56, alin (2), lit. d) din Legea nr. 69/2010 republicată, în urma însușirii acestora de către membrii Consiliului, prin vot, în ședința din data de 5 februarie 2019.</w:t>
      </w:r>
    </w:p>
    <w:p w:rsidR="00EA4BD1" w:rsidRPr="00907800" w:rsidRDefault="00EA4BD1" w:rsidP="00BA1FF9">
      <w:pPr>
        <w:jc w:val="both"/>
        <w:rPr>
          <w:sz w:val="24"/>
          <w:szCs w:val="24"/>
        </w:rPr>
      </w:pPr>
    </w:p>
    <w:p w:rsidR="00010C1A" w:rsidRPr="00907800" w:rsidRDefault="00010C1A" w:rsidP="00C77F45">
      <w:pPr>
        <w:widowControl w:val="0"/>
        <w:autoSpaceDE w:val="0"/>
        <w:autoSpaceDN w:val="0"/>
        <w:adjustRightInd w:val="0"/>
        <w:spacing w:after="0"/>
        <w:jc w:val="both"/>
        <w:rPr>
          <w:rFonts w:cstheme="minorHAnsi"/>
          <w:sz w:val="24"/>
          <w:szCs w:val="24"/>
        </w:rPr>
      </w:pPr>
    </w:p>
    <w:p w:rsidR="00010C1A" w:rsidRPr="00907800" w:rsidRDefault="00010C1A" w:rsidP="00C77F45">
      <w:pPr>
        <w:widowControl w:val="0"/>
        <w:autoSpaceDE w:val="0"/>
        <w:autoSpaceDN w:val="0"/>
        <w:adjustRightInd w:val="0"/>
        <w:spacing w:after="0"/>
        <w:jc w:val="both"/>
        <w:rPr>
          <w:rFonts w:cstheme="minorHAnsi"/>
          <w:sz w:val="24"/>
          <w:szCs w:val="24"/>
        </w:rPr>
      </w:pPr>
    </w:p>
    <w:p w:rsidR="00C77F45" w:rsidRPr="00907800" w:rsidRDefault="008471DE" w:rsidP="00C77F45">
      <w:pPr>
        <w:widowControl w:val="0"/>
        <w:autoSpaceDE w:val="0"/>
        <w:autoSpaceDN w:val="0"/>
        <w:adjustRightInd w:val="0"/>
        <w:spacing w:after="0"/>
        <w:rPr>
          <w:rFonts w:cstheme="minorHAnsi"/>
          <w:b/>
          <w:bCs/>
          <w:sz w:val="24"/>
          <w:szCs w:val="24"/>
        </w:rPr>
      </w:pPr>
      <w:r w:rsidRPr="00907800">
        <w:rPr>
          <w:rFonts w:cstheme="minorHAnsi"/>
          <w:b/>
          <w:bCs/>
          <w:sz w:val="24"/>
          <w:szCs w:val="24"/>
        </w:rPr>
        <w:t>5</w:t>
      </w:r>
      <w:r w:rsidR="00C77F45" w:rsidRPr="00907800">
        <w:rPr>
          <w:rFonts w:cstheme="minorHAnsi"/>
          <w:b/>
          <w:bCs/>
          <w:sz w:val="24"/>
          <w:szCs w:val="24"/>
        </w:rPr>
        <w:t xml:space="preserve"> </w:t>
      </w:r>
      <w:r w:rsidRPr="00907800">
        <w:rPr>
          <w:rFonts w:cstheme="minorHAnsi"/>
          <w:b/>
          <w:bCs/>
          <w:sz w:val="24"/>
          <w:szCs w:val="24"/>
        </w:rPr>
        <w:t>februarie 2019</w:t>
      </w:r>
      <w:r w:rsidR="00C77F45" w:rsidRPr="00907800">
        <w:rPr>
          <w:rFonts w:cstheme="minorHAnsi"/>
          <w:b/>
          <w:bCs/>
          <w:sz w:val="24"/>
          <w:szCs w:val="24"/>
        </w:rPr>
        <w:t xml:space="preserve">      </w:t>
      </w:r>
      <w:r w:rsidR="00C77F45" w:rsidRPr="00907800">
        <w:rPr>
          <w:rFonts w:cstheme="minorHAnsi"/>
          <w:b/>
          <w:bCs/>
          <w:sz w:val="24"/>
          <w:szCs w:val="24"/>
        </w:rPr>
        <w:tab/>
      </w:r>
      <w:r w:rsidR="00C77F45" w:rsidRPr="00907800">
        <w:rPr>
          <w:rFonts w:cstheme="minorHAnsi"/>
          <w:b/>
          <w:bCs/>
          <w:sz w:val="24"/>
          <w:szCs w:val="24"/>
        </w:rPr>
        <w:tab/>
      </w:r>
      <w:r w:rsidR="00C77F45" w:rsidRPr="00907800">
        <w:rPr>
          <w:rFonts w:cstheme="minorHAnsi"/>
          <w:b/>
          <w:bCs/>
          <w:sz w:val="24"/>
          <w:szCs w:val="24"/>
        </w:rPr>
        <w:tab/>
      </w:r>
      <w:r w:rsidR="00C77F45" w:rsidRPr="00907800">
        <w:rPr>
          <w:rFonts w:cstheme="minorHAnsi"/>
          <w:b/>
          <w:bCs/>
          <w:sz w:val="24"/>
          <w:szCs w:val="24"/>
        </w:rPr>
        <w:tab/>
      </w:r>
      <w:r w:rsidR="00C77F45" w:rsidRPr="00907800">
        <w:rPr>
          <w:rFonts w:cstheme="minorHAnsi"/>
          <w:b/>
          <w:bCs/>
          <w:sz w:val="24"/>
          <w:szCs w:val="24"/>
        </w:rPr>
        <w:tab/>
      </w:r>
      <w:r w:rsidR="00C77F45" w:rsidRPr="00907800">
        <w:rPr>
          <w:rFonts w:cstheme="minorHAnsi"/>
          <w:b/>
          <w:bCs/>
          <w:sz w:val="24"/>
          <w:szCs w:val="24"/>
        </w:rPr>
        <w:tab/>
        <w:t xml:space="preserve">            Președinte Consiliul</w:t>
      </w:r>
      <w:r w:rsidR="00CD4FCC">
        <w:rPr>
          <w:rFonts w:cstheme="minorHAnsi"/>
          <w:b/>
          <w:bCs/>
          <w:sz w:val="24"/>
          <w:szCs w:val="24"/>
        </w:rPr>
        <w:t xml:space="preserve"> </w:t>
      </w:r>
      <w:r w:rsidR="00C77F45" w:rsidRPr="00907800">
        <w:rPr>
          <w:rFonts w:cstheme="minorHAnsi"/>
          <w:b/>
          <w:bCs/>
          <w:sz w:val="24"/>
          <w:szCs w:val="24"/>
        </w:rPr>
        <w:t>fiscal</w:t>
      </w:r>
      <w:r w:rsidR="00875AE2" w:rsidRPr="00907800">
        <w:rPr>
          <w:rFonts w:cstheme="minorHAnsi"/>
          <w:b/>
          <w:bCs/>
          <w:sz w:val="24"/>
          <w:szCs w:val="24"/>
        </w:rPr>
        <w:t>,</w:t>
      </w:r>
      <w:r w:rsidR="00C77F45" w:rsidRPr="00907800">
        <w:rPr>
          <w:rFonts w:cstheme="minorHAnsi"/>
          <w:b/>
          <w:bCs/>
          <w:sz w:val="24"/>
          <w:szCs w:val="24"/>
        </w:rPr>
        <w:t xml:space="preserve">                                                        </w:t>
      </w:r>
    </w:p>
    <w:p w:rsidR="00166316" w:rsidRDefault="00C77F45" w:rsidP="005B7AE5">
      <w:pPr>
        <w:widowControl w:val="0"/>
        <w:autoSpaceDE w:val="0"/>
        <w:autoSpaceDN w:val="0"/>
        <w:adjustRightInd w:val="0"/>
        <w:spacing w:after="0"/>
        <w:ind w:left="7200"/>
        <w:jc w:val="both"/>
        <w:rPr>
          <w:rFonts w:cstheme="minorHAnsi"/>
          <w:b/>
          <w:bCs/>
          <w:sz w:val="24"/>
          <w:szCs w:val="24"/>
        </w:rPr>
        <w:sectPr w:rsidR="00166316" w:rsidSect="00166316">
          <w:footerReference w:type="default" r:id="rId9"/>
          <w:pgSz w:w="11906" w:h="16838" w:code="9"/>
          <w:pgMar w:top="1417" w:right="1417" w:bottom="1417" w:left="1417" w:header="720" w:footer="720" w:gutter="0"/>
          <w:cols w:space="720"/>
          <w:docGrid w:linePitch="360"/>
        </w:sectPr>
      </w:pPr>
      <w:r w:rsidRPr="00907800">
        <w:rPr>
          <w:rFonts w:cstheme="minorHAnsi"/>
          <w:b/>
          <w:bCs/>
          <w:sz w:val="24"/>
          <w:szCs w:val="24"/>
        </w:rPr>
        <w:t xml:space="preserve">                                                                                                      IONUŢ DUMI</w:t>
      </w:r>
      <w:r w:rsidR="00787D43">
        <w:rPr>
          <w:rFonts w:cstheme="minorHAnsi"/>
          <w:b/>
          <w:bCs/>
          <w:sz w:val="24"/>
          <w:szCs w:val="24"/>
        </w:rPr>
        <w:t>TRU</w:t>
      </w:r>
    </w:p>
    <w:p w:rsidR="00166316" w:rsidRPr="00787D43" w:rsidRDefault="00166316" w:rsidP="00787D43">
      <w:pPr>
        <w:jc w:val="center"/>
        <w:rPr>
          <w:b/>
          <w:sz w:val="24"/>
          <w:szCs w:val="24"/>
        </w:rPr>
      </w:pPr>
      <w:r w:rsidRPr="00787D43">
        <w:rPr>
          <w:b/>
          <w:sz w:val="24"/>
          <w:szCs w:val="24"/>
        </w:rPr>
        <w:lastRenderedPageBreak/>
        <w:t>Anexa nr. 1 : Măsuri de politică fiscală și impactul estimat potrivit MFP</w:t>
      </w:r>
    </w:p>
    <w:tbl>
      <w:tblPr>
        <w:tblpPr w:leftFromText="180" w:rightFromText="180" w:vertAnchor="page" w:horzAnchor="margin" w:tblpXSpec="center" w:tblpY="1970"/>
        <w:tblW w:w="97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002"/>
        <w:gridCol w:w="1815"/>
        <w:gridCol w:w="2908"/>
      </w:tblGrid>
      <w:tr w:rsidR="00166316" w:rsidRPr="00276F01" w:rsidTr="00787D43">
        <w:trPr>
          <w:trHeight w:val="580"/>
        </w:trPr>
        <w:tc>
          <w:tcPr>
            <w:tcW w:w="5002" w:type="dxa"/>
            <w:tcBorders>
              <w:top w:val="single" w:sz="12" w:space="0" w:color="auto"/>
              <w:bottom w:val="single" w:sz="12" w:space="0" w:color="auto"/>
            </w:tcBorders>
            <w:shd w:val="clear" w:color="auto" w:fill="0070C0"/>
            <w:noWrap/>
            <w:vAlign w:val="center"/>
            <w:hideMark/>
          </w:tcPr>
          <w:p w:rsidR="00166316" w:rsidRPr="00276F01" w:rsidRDefault="00166316" w:rsidP="00ED2CDC">
            <w:pPr>
              <w:spacing w:before="40" w:after="40" w:line="240" w:lineRule="auto"/>
              <w:jc w:val="center"/>
              <w:rPr>
                <w:rFonts w:ascii="Calibri" w:eastAsia="Times New Roman" w:hAnsi="Calibri" w:cs="Calibri"/>
                <w:b/>
                <w:color w:val="FFFFFF" w:themeColor="background1"/>
                <w:sz w:val="20"/>
                <w:szCs w:val="20"/>
              </w:rPr>
            </w:pPr>
            <w:r w:rsidRPr="00276F01">
              <w:rPr>
                <w:rFonts w:ascii="Calibri" w:eastAsia="Times New Roman" w:hAnsi="Calibri" w:cs="Calibri"/>
                <w:b/>
                <w:color w:val="FFFFFF" w:themeColor="background1"/>
                <w:sz w:val="20"/>
                <w:szCs w:val="20"/>
              </w:rPr>
              <w:t>Măsuri de politică fiscal</w:t>
            </w:r>
            <w:r w:rsidR="00ED2CDC">
              <w:rPr>
                <w:rFonts w:ascii="Calibri" w:eastAsia="Times New Roman" w:hAnsi="Calibri" w:cs="Calibri"/>
                <w:b/>
                <w:color w:val="FFFFFF" w:themeColor="background1"/>
                <w:sz w:val="20"/>
                <w:szCs w:val="20"/>
              </w:rPr>
              <w:t>-bugetară</w:t>
            </w:r>
            <w:r w:rsidRPr="00276F01">
              <w:rPr>
                <w:rFonts w:ascii="Calibri" w:eastAsia="Times New Roman" w:hAnsi="Calibri" w:cs="Calibri"/>
                <w:b/>
                <w:color w:val="FFFFFF" w:themeColor="background1"/>
                <w:sz w:val="20"/>
                <w:szCs w:val="20"/>
              </w:rPr>
              <w:t xml:space="preserve">  – venituri bugetare</w:t>
            </w:r>
          </w:p>
        </w:tc>
        <w:tc>
          <w:tcPr>
            <w:tcW w:w="1815" w:type="dxa"/>
            <w:tcBorders>
              <w:top w:val="single" w:sz="12" w:space="0" w:color="auto"/>
              <w:bottom w:val="single" w:sz="12" w:space="0" w:color="auto"/>
            </w:tcBorders>
            <w:shd w:val="clear" w:color="auto" w:fill="0070C0"/>
            <w:vAlign w:val="center"/>
            <w:hideMark/>
          </w:tcPr>
          <w:p w:rsidR="00166316" w:rsidRPr="00276F01" w:rsidRDefault="00166316" w:rsidP="00CF4281">
            <w:pPr>
              <w:spacing w:before="40" w:after="40" w:line="240" w:lineRule="auto"/>
              <w:jc w:val="center"/>
              <w:rPr>
                <w:rFonts w:ascii="Calibri" w:eastAsia="Times New Roman" w:hAnsi="Calibri" w:cs="Calibri"/>
                <w:b/>
                <w:color w:val="FFFFFF" w:themeColor="background1"/>
                <w:sz w:val="20"/>
                <w:szCs w:val="20"/>
              </w:rPr>
            </w:pPr>
            <w:r w:rsidRPr="00276F01">
              <w:rPr>
                <w:rFonts w:ascii="Calibri" w:eastAsia="Times New Roman" w:hAnsi="Calibri" w:cs="Calibri"/>
                <w:b/>
                <w:color w:val="FFFFFF" w:themeColor="background1"/>
                <w:sz w:val="20"/>
                <w:szCs w:val="20"/>
              </w:rPr>
              <w:t>Impact bugetar (mil. lei)</w:t>
            </w:r>
          </w:p>
        </w:tc>
        <w:tc>
          <w:tcPr>
            <w:tcW w:w="2908" w:type="dxa"/>
            <w:tcBorders>
              <w:top w:val="single" w:sz="12" w:space="0" w:color="auto"/>
              <w:bottom w:val="single" w:sz="12" w:space="0" w:color="auto"/>
            </w:tcBorders>
            <w:shd w:val="clear" w:color="auto" w:fill="0070C0"/>
            <w:noWrap/>
            <w:vAlign w:val="center"/>
            <w:hideMark/>
          </w:tcPr>
          <w:p w:rsidR="00166316" w:rsidRPr="00276F01" w:rsidRDefault="00166316" w:rsidP="00CF4281">
            <w:pPr>
              <w:spacing w:before="40" w:after="40" w:line="240" w:lineRule="auto"/>
              <w:jc w:val="center"/>
              <w:rPr>
                <w:rFonts w:ascii="Calibri" w:eastAsia="Times New Roman" w:hAnsi="Calibri" w:cs="Calibri"/>
                <w:b/>
                <w:color w:val="FFFFFF" w:themeColor="background1"/>
                <w:sz w:val="20"/>
                <w:szCs w:val="20"/>
              </w:rPr>
            </w:pPr>
            <w:r w:rsidRPr="00276F01">
              <w:rPr>
                <w:rFonts w:ascii="Calibri" w:eastAsia="Times New Roman" w:hAnsi="Calibri" w:cs="Calibri"/>
                <w:b/>
                <w:color w:val="FFFFFF" w:themeColor="background1"/>
                <w:sz w:val="20"/>
                <w:szCs w:val="20"/>
              </w:rPr>
              <w:t>Categoria de venituri</w:t>
            </w:r>
          </w:p>
        </w:tc>
      </w:tr>
      <w:tr w:rsidR="00166316" w:rsidRPr="00276F01" w:rsidTr="00787D43">
        <w:trPr>
          <w:trHeight w:val="290"/>
        </w:trPr>
        <w:tc>
          <w:tcPr>
            <w:tcW w:w="5002" w:type="dxa"/>
            <w:tcBorders>
              <w:top w:val="single" w:sz="12" w:space="0" w:color="auto"/>
              <w:bottom w:val="single" w:sz="12" w:space="0" w:color="auto"/>
            </w:tcBorders>
            <w:shd w:val="clear" w:color="auto" w:fill="548DD4" w:themeFill="text2" w:themeFillTint="99"/>
            <w:vAlign w:val="center"/>
            <w:hideMark/>
          </w:tcPr>
          <w:p w:rsidR="00166316" w:rsidRPr="00276F01" w:rsidRDefault="00166316" w:rsidP="00CF4281">
            <w:pPr>
              <w:spacing w:before="40" w:after="40" w:line="240" w:lineRule="auto"/>
              <w:rPr>
                <w:rFonts w:ascii="Calibri" w:eastAsia="Times New Roman" w:hAnsi="Calibri" w:cs="Calibri"/>
                <w:b/>
                <w:color w:val="000000"/>
                <w:sz w:val="20"/>
                <w:szCs w:val="20"/>
              </w:rPr>
            </w:pPr>
            <w:r w:rsidRPr="00276F01">
              <w:rPr>
                <w:rFonts w:ascii="Calibri" w:eastAsia="Times New Roman" w:hAnsi="Calibri" w:cs="Calibri"/>
                <w:b/>
                <w:color w:val="000000"/>
                <w:sz w:val="20"/>
                <w:szCs w:val="20"/>
              </w:rPr>
              <w:t>Total</w:t>
            </w:r>
          </w:p>
        </w:tc>
        <w:tc>
          <w:tcPr>
            <w:tcW w:w="1815" w:type="dxa"/>
            <w:tcBorders>
              <w:top w:val="single" w:sz="12" w:space="0" w:color="auto"/>
              <w:bottom w:val="single" w:sz="12" w:space="0" w:color="auto"/>
            </w:tcBorders>
            <w:shd w:val="clear" w:color="auto" w:fill="548DD4" w:themeFill="text2" w:themeFillTint="99"/>
            <w:noWrap/>
            <w:vAlign w:val="center"/>
            <w:hideMark/>
          </w:tcPr>
          <w:p w:rsidR="00166316" w:rsidRPr="00276F01" w:rsidRDefault="00166316" w:rsidP="00CF4281">
            <w:pPr>
              <w:spacing w:before="40" w:after="40" w:line="240" w:lineRule="auto"/>
              <w:jc w:val="center"/>
              <w:rPr>
                <w:rFonts w:ascii="Calibri" w:eastAsia="Times New Roman" w:hAnsi="Calibri" w:cs="Calibri"/>
                <w:b/>
                <w:color w:val="000000"/>
                <w:sz w:val="20"/>
                <w:szCs w:val="20"/>
              </w:rPr>
            </w:pPr>
            <w:r w:rsidRPr="00276F01">
              <w:rPr>
                <w:rFonts w:ascii="Calibri" w:eastAsia="Times New Roman" w:hAnsi="Calibri" w:cs="Calibri"/>
                <w:b/>
                <w:color w:val="000000"/>
                <w:sz w:val="20"/>
                <w:szCs w:val="20"/>
              </w:rPr>
              <w:t>10.874,4</w:t>
            </w:r>
          </w:p>
        </w:tc>
        <w:tc>
          <w:tcPr>
            <w:tcW w:w="2908" w:type="dxa"/>
            <w:tcBorders>
              <w:top w:val="single" w:sz="12" w:space="0" w:color="auto"/>
              <w:bottom w:val="single" w:sz="12" w:space="0" w:color="auto"/>
            </w:tcBorders>
            <w:shd w:val="clear" w:color="auto" w:fill="548DD4" w:themeFill="text2" w:themeFillTint="99"/>
            <w:vAlign w:val="center"/>
          </w:tcPr>
          <w:p w:rsidR="00166316" w:rsidRPr="00276F01" w:rsidRDefault="00166316" w:rsidP="00CF4281">
            <w:pPr>
              <w:spacing w:before="40" w:after="40" w:line="240" w:lineRule="auto"/>
              <w:jc w:val="center"/>
              <w:rPr>
                <w:rFonts w:ascii="Calibri" w:eastAsia="Times New Roman" w:hAnsi="Calibri" w:cs="Calibri"/>
                <w:b/>
                <w:color w:val="000000"/>
                <w:sz w:val="20"/>
                <w:szCs w:val="20"/>
              </w:rPr>
            </w:pPr>
          </w:p>
        </w:tc>
      </w:tr>
      <w:tr w:rsidR="00166316" w:rsidRPr="00276F01" w:rsidTr="00787D43">
        <w:trPr>
          <w:trHeight w:val="290"/>
        </w:trPr>
        <w:tc>
          <w:tcPr>
            <w:tcW w:w="5002" w:type="dxa"/>
            <w:vMerge w:val="restart"/>
            <w:tcBorders>
              <w:top w:val="single" w:sz="12" w:space="0" w:color="auto"/>
              <w:bottom w:val="single" w:sz="8"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Creștere salariu minim în domeniul construcțiilor  și modificare impozitare</w:t>
            </w:r>
          </w:p>
        </w:tc>
        <w:tc>
          <w:tcPr>
            <w:tcW w:w="1815" w:type="dxa"/>
            <w:tcBorders>
              <w:top w:val="single" w:sz="12" w:space="0" w:color="auto"/>
              <w:bottom w:val="single" w:sz="8"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-1.381,6</w:t>
            </w:r>
          </w:p>
        </w:tc>
        <w:tc>
          <w:tcPr>
            <w:tcW w:w="2908" w:type="dxa"/>
            <w:tcBorders>
              <w:top w:val="single" w:sz="12" w:space="0" w:color="auto"/>
              <w:bottom w:val="single" w:sz="8"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Contribuții de asigurări sociale</w:t>
            </w:r>
          </w:p>
        </w:tc>
      </w:tr>
      <w:tr w:rsidR="00166316" w:rsidRPr="00276F01" w:rsidTr="00787D43">
        <w:trPr>
          <w:trHeight w:val="290"/>
        </w:trPr>
        <w:tc>
          <w:tcPr>
            <w:tcW w:w="5002" w:type="dxa"/>
            <w:vMerge/>
            <w:tcBorders>
              <w:top w:val="single" w:sz="8" w:space="0" w:color="auto"/>
              <w:bottom w:val="single" w:sz="12" w:space="0" w:color="auto"/>
            </w:tcBorders>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p>
        </w:tc>
        <w:tc>
          <w:tcPr>
            <w:tcW w:w="1815" w:type="dxa"/>
            <w:tcBorders>
              <w:top w:val="single" w:sz="8" w:space="0" w:color="auto"/>
              <w:bottom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-825,4</w:t>
            </w:r>
          </w:p>
        </w:tc>
        <w:tc>
          <w:tcPr>
            <w:tcW w:w="2908" w:type="dxa"/>
            <w:tcBorders>
              <w:top w:val="single" w:sz="8" w:space="0" w:color="auto"/>
              <w:bottom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Impozitul pe salarii și venit</w:t>
            </w:r>
          </w:p>
        </w:tc>
      </w:tr>
      <w:tr w:rsidR="00166316" w:rsidRPr="00276F01" w:rsidTr="00787D43">
        <w:trPr>
          <w:trHeight w:val="290"/>
        </w:trPr>
        <w:tc>
          <w:tcPr>
            <w:tcW w:w="5002" w:type="dxa"/>
            <w:tcBorders>
              <w:top w:val="single" w:sz="12" w:space="0" w:color="auto"/>
              <w:bottom w:val="single" w:sz="12"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Venituri din dividende art. 43 OUG 118/2018 (35% din alte rezerve)</w:t>
            </w:r>
          </w:p>
        </w:tc>
        <w:tc>
          <w:tcPr>
            <w:tcW w:w="1815" w:type="dxa"/>
            <w:tcBorders>
              <w:top w:val="single" w:sz="12" w:space="0" w:color="auto"/>
              <w:bottom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1500</w:t>
            </w:r>
          </w:p>
        </w:tc>
        <w:tc>
          <w:tcPr>
            <w:tcW w:w="2908" w:type="dxa"/>
            <w:tcBorders>
              <w:top w:val="single" w:sz="12" w:space="0" w:color="auto"/>
              <w:bottom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Venituri nefiscale</w:t>
            </w:r>
          </w:p>
        </w:tc>
      </w:tr>
      <w:tr w:rsidR="00166316" w:rsidRPr="00276F01" w:rsidTr="00787D43">
        <w:trPr>
          <w:trHeight w:val="290"/>
        </w:trPr>
        <w:tc>
          <w:tcPr>
            <w:tcW w:w="5002" w:type="dxa"/>
            <w:tcBorders>
              <w:top w:val="single" w:sz="12" w:space="0" w:color="auto"/>
              <w:bottom w:val="single" w:sz="12"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Creștere nivel acciza tutun ( de la 1 aprilie)</w:t>
            </w:r>
          </w:p>
        </w:tc>
        <w:tc>
          <w:tcPr>
            <w:tcW w:w="1815" w:type="dxa"/>
            <w:tcBorders>
              <w:top w:val="single" w:sz="12" w:space="0" w:color="auto"/>
              <w:bottom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615,5</w:t>
            </w:r>
          </w:p>
        </w:tc>
        <w:tc>
          <w:tcPr>
            <w:tcW w:w="2908" w:type="dxa"/>
            <w:tcBorders>
              <w:top w:val="single" w:sz="12" w:space="0" w:color="auto"/>
              <w:bottom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Accize</w:t>
            </w:r>
          </w:p>
        </w:tc>
      </w:tr>
      <w:tr w:rsidR="00166316" w:rsidRPr="00276F01" w:rsidTr="00787D43">
        <w:trPr>
          <w:trHeight w:val="870"/>
        </w:trPr>
        <w:tc>
          <w:tcPr>
            <w:tcW w:w="5002" w:type="dxa"/>
            <w:vMerge w:val="restart"/>
            <w:tcBorders>
              <w:top w:val="single" w:sz="12" w:space="0" w:color="auto"/>
              <w:bottom w:val="single" w:sz="8"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Creșterea taxării în domeniul jocurilor de noroc (taxă de participare 2%)</w:t>
            </w:r>
          </w:p>
        </w:tc>
        <w:tc>
          <w:tcPr>
            <w:tcW w:w="1815" w:type="dxa"/>
            <w:tcBorders>
              <w:top w:val="single" w:sz="12" w:space="0" w:color="auto"/>
              <w:bottom w:val="single" w:sz="8"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624,8</w:t>
            </w:r>
          </w:p>
        </w:tc>
        <w:tc>
          <w:tcPr>
            <w:tcW w:w="2908" w:type="dxa"/>
            <w:tcBorders>
              <w:top w:val="single" w:sz="12" w:space="0" w:color="auto"/>
              <w:bottom w:val="single" w:sz="8"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Taxe pe utilizarea bunurilor, autorizarea utilizării bunurilor sau pe desfășurarea de activități</w:t>
            </w:r>
          </w:p>
        </w:tc>
      </w:tr>
      <w:tr w:rsidR="00166316" w:rsidRPr="00276F01" w:rsidTr="00787D43">
        <w:trPr>
          <w:trHeight w:val="290"/>
        </w:trPr>
        <w:tc>
          <w:tcPr>
            <w:tcW w:w="5002" w:type="dxa"/>
            <w:vMerge/>
            <w:tcBorders>
              <w:top w:val="single" w:sz="8" w:space="0" w:color="auto"/>
              <w:bottom w:val="single" w:sz="12" w:space="0" w:color="auto"/>
            </w:tcBorders>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p>
        </w:tc>
        <w:tc>
          <w:tcPr>
            <w:tcW w:w="1815" w:type="dxa"/>
            <w:tcBorders>
              <w:top w:val="single" w:sz="8" w:space="0" w:color="auto"/>
              <w:bottom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-100</w:t>
            </w:r>
          </w:p>
        </w:tc>
        <w:tc>
          <w:tcPr>
            <w:tcW w:w="2908" w:type="dxa"/>
            <w:tcBorders>
              <w:top w:val="single" w:sz="8" w:space="0" w:color="auto"/>
              <w:bottom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Impozitul pe profit</w:t>
            </w:r>
          </w:p>
        </w:tc>
      </w:tr>
      <w:tr w:rsidR="00166316" w:rsidRPr="00276F01" w:rsidTr="00787D43">
        <w:trPr>
          <w:trHeight w:val="290"/>
        </w:trPr>
        <w:tc>
          <w:tcPr>
            <w:tcW w:w="5002" w:type="dxa"/>
            <w:vMerge w:val="restart"/>
            <w:tcBorders>
              <w:top w:val="single" w:sz="12" w:space="0" w:color="auto"/>
              <w:bottom w:val="single" w:sz="8"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Creștere venituri proprii ANRE ANCOM</w:t>
            </w:r>
          </w:p>
        </w:tc>
        <w:tc>
          <w:tcPr>
            <w:tcW w:w="1815" w:type="dxa"/>
            <w:tcBorders>
              <w:top w:val="single" w:sz="12" w:space="0" w:color="auto"/>
              <w:bottom w:val="single" w:sz="8"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896,8</w:t>
            </w:r>
          </w:p>
        </w:tc>
        <w:tc>
          <w:tcPr>
            <w:tcW w:w="2908" w:type="dxa"/>
            <w:tcBorders>
              <w:top w:val="single" w:sz="12" w:space="0" w:color="auto"/>
              <w:bottom w:val="single" w:sz="8"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Venituri nefiscale</w:t>
            </w:r>
          </w:p>
        </w:tc>
      </w:tr>
      <w:tr w:rsidR="00166316" w:rsidRPr="00276F01" w:rsidTr="00787D43">
        <w:trPr>
          <w:trHeight w:val="290"/>
        </w:trPr>
        <w:tc>
          <w:tcPr>
            <w:tcW w:w="5002" w:type="dxa"/>
            <w:vMerge/>
            <w:tcBorders>
              <w:top w:val="single" w:sz="8" w:space="0" w:color="auto"/>
              <w:bottom w:val="single" w:sz="12" w:space="0" w:color="auto"/>
            </w:tcBorders>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p>
        </w:tc>
        <w:tc>
          <w:tcPr>
            <w:tcW w:w="1815" w:type="dxa"/>
            <w:tcBorders>
              <w:top w:val="single" w:sz="8" w:space="0" w:color="auto"/>
              <w:bottom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-55,8</w:t>
            </w:r>
          </w:p>
        </w:tc>
        <w:tc>
          <w:tcPr>
            <w:tcW w:w="2908" w:type="dxa"/>
            <w:tcBorders>
              <w:top w:val="single" w:sz="8" w:space="0" w:color="auto"/>
              <w:bottom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Impozitul pe profit</w:t>
            </w:r>
          </w:p>
        </w:tc>
      </w:tr>
      <w:tr w:rsidR="00166316" w:rsidRPr="00276F01" w:rsidTr="00787D43">
        <w:trPr>
          <w:trHeight w:val="870"/>
        </w:trPr>
        <w:tc>
          <w:tcPr>
            <w:tcW w:w="5002" w:type="dxa"/>
            <w:tcBorders>
              <w:top w:val="single" w:sz="12" w:space="0" w:color="auto"/>
              <w:bottom w:val="single" w:sz="12"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Vânzarea licențelor 5G</w:t>
            </w:r>
            <w:r w:rsidR="00B048E2">
              <w:rPr>
                <w:rFonts w:ascii="Calibri" w:eastAsia="Times New Roman" w:hAnsi="Calibri" w:cs="Calibri"/>
                <w:color w:val="000000"/>
                <w:sz w:val="20"/>
                <w:szCs w:val="20"/>
              </w:rPr>
              <w:t xml:space="preserve"> (programate pentru decembrie 2019)</w:t>
            </w:r>
          </w:p>
        </w:tc>
        <w:tc>
          <w:tcPr>
            <w:tcW w:w="1815" w:type="dxa"/>
            <w:tcBorders>
              <w:top w:val="single" w:sz="12" w:space="0" w:color="auto"/>
              <w:bottom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2100</w:t>
            </w:r>
          </w:p>
        </w:tc>
        <w:tc>
          <w:tcPr>
            <w:tcW w:w="2908" w:type="dxa"/>
            <w:tcBorders>
              <w:top w:val="single" w:sz="12" w:space="0" w:color="auto"/>
              <w:bottom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Taxe pe utilizarea bunurilor, autorizarea utilizării bunurilor sau pe desfășurarea de activități</w:t>
            </w:r>
          </w:p>
        </w:tc>
      </w:tr>
      <w:tr w:rsidR="00166316" w:rsidRPr="00276F01" w:rsidTr="00787D43">
        <w:trPr>
          <w:trHeight w:val="290"/>
        </w:trPr>
        <w:tc>
          <w:tcPr>
            <w:tcW w:w="5002" w:type="dxa"/>
            <w:vMerge w:val="restart"/>
            <w:tcBorders>
              <w:top w:val="single" w:sz="12" w:space="0" w:color="auto"/>
            </w:tcBorders>
            <w:shd w:val="clear" w:color="auto" w:fill="auto"/>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r w:rsidRPr="00276F01">
              <w:rPr>
                <w:rFonts w:ascii="Calibri" w:eastAsia="Times New Roman" w:hAnsi="Calibri" w:cs="Calibri"/>
                <w:color w:val="000000"/>
                <w:sz w:val="20"/>
                <w:szCs w:val="20"/>
              </w:rPr>
              <w:t>Creșterea gradului de colectare</w:t>
            </w:r>
          </w:p>
        </w:tc>
        <w:tc>
          <w:tcPr>
            <w:tcW w:w="1815" w:type="dxa"/>
            <w:tcBorders>
              <w:top w:val="single" w:sz="12" w:space="0" w:color="auto"/>
            </w:tcBorders>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6000</w:t>
            </w:r>
          </w:p>
        </w:tc>
        <w:tc>
          <w:tcPr>
            <w:tcW w:w="2908" w:type="dxa"/>
            <w:tcBorders>
              <w:top w:val="single" w:sz="12" w:space="0" w:color="auto"/>
            </w:tcBorders>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TVA</w:t>
            </w:r>
          </w:p>
        </w:tc>
      </w:tr>
      <w:tr w:rsidR="00166316" w:rsidRPr="00276F01" w:rsidTr="00787D43">
        <w:trPr>
          <w:trHeight w:val="290"/>
        </w:trPr>
        <w:tc>
          <w:tcPr>
            <w:tcW w:w="5002" w:type="dxa"/>
            <w:vMerge/>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p>
        </w:tc>
        <w:tc>
          <w:tcPr>
            <w:tcW w:w="1815" w:type="dxa"/>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1000</w:t>
            </w:r>
          </w:p>
        </w:tc>
        <w:tc>
          <w:tcPr>
            <w:tcW w:w="2908" w:type="dxa"/>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Accize</w:t>
            </w:r>
          </w:p>
        </w:tc>
      </w:tr>
      <w:tr w:rsidR="00166316" w:rsidRPr="00276F01" w:rsidTr="00787D43">
        <w:trPr>
          <w:trHeight w:val="290"/>
        </w:trPr>
        <w:tc>
          <w:tcPr>
            <w:tcW w:w="5002" w:type="dxa"/>
            <w:vMerge/>
            <w:vAlign w:val="center"/>
            <w:hideMark/>
          </w:tcPr>
          <w:p w:rsidR="00166316" w:rsidRPr="00276F01" w:rsidRDefault="00166316" w:rsidP="00CF4281">
            <w:pPr>
              <w:spacing w:before="40" w:after="40" w:line="240" w:lineRule="auto"/>
              <w:rPr>
                <w:rFonts w:ascii="Calibri" w:eastAsia="Times New Roman" w:hAnsi="Calibri" w:cs="Calibri"/>
                <w:color w:val="000000"/>
                <w:sz w:val="20"/>
                <w:szCs w:val="20"/>
              </w:rPr>
            </w:pPr>
          </w:p>
        </w:tc>
        <w:tc>
          <w:tcPr>
            <w:tcW w:w="1815" w:type="dxa"/>
            <w:shd w:val="clear" w:color="auto" w:fill="auto"/>
            <w:noWrap/>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500</w:t>
            </w:r>
          </w:p>
        </w:tc>
        <w:tc>
          <w:tcPr>
            <w:tcW w:w="2908" w:type="dxa"/>
            <w:shd w:val="clear" w:color="auto" w:fill="auto"/>
            <w:vAlign w:val="center"/>
            <w:hideMark/>
          </w:tcPr>
          <w:p w:rsidR="00166316" w:rsidRPr="00276F01" w:rsidRDefault="00166316" w:rsidP="00CF4281">
            <w:pPr>
              <w:spacing w:before="40" w:after="40" w:line="240" w:lineRule="auto"/>
              <w:jc w:val="center"/>
              <w:rPr>
                <w:rFonts w:ascii="Calibri" w:eastAsia="Times New Roman" w:hAnsi="Calibri" w:cs="Calibri"/>
                <w:color w:val="000000"/>
                <w:sz w:val="20"/>
                <w:szCs w:val="20"/>
              </w:rPr>
            </w:pPr>
            <w:r w:rsidRPr="00276F01">
              <w:rPr>
                <w:rFonts w:ascii="Calibri" w:eastAsia="Times New Roman" w:hAnsi="Calibri" w:cs="Calibri"/>
                <w:color w:val="000000"/>
                <w:sz w:val="20"/>
                <w:szCs w:val="20"/>
              </w:rPr>
              <w:t>Impozitul pe profit</w:t>
            </w:r>
          </w:p>
        </w:tc>
      </w:tr>
    </w:tbl>
    <w:p w:rsidR="004B6C23" w:rsidRPr="00166316" w:rsidRDefault="004B6C23" w:rsidP="004B6C23">
      <w:pPr>
        <w:jc w:val="center"/>
        <w:rPr>
          <w:i/>
          <w:sz w:val="24"/>
          <w:szCs w:val="24"/>
        </w:rPr>
      </w:pPr>
      <w:r w:rsidRPr="00166316">
        <w:rPr>
          <w:sz w:val="24"/>
          <w:szCs w:val="24"/>
        </w:rPr>
        <w:t xml:space="preserve">Sursa: </w:t>
      </w:r>
      <w:r w:rsidRPr="00166316">
        <w:rPr>
          <w:i/>
          <w:sz w:val="24"/>
          <w:szCs w:val="24"/>
        </w:rPr>
        <w:t>Ministerul Finanțelor Publice</w:t>
      </w: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5088"/>
        <w:gridCol w:w="2127"/>
        <w:gridCol w:w="2566"/>
      </w:tblGrid>
      <w:tr w:rsidR="00166316" w:rsidRPr="00166316" w:rsidTr="00787D43">
        <w:trPr>
          <w:trHeight w:val="679"/>
          <w:jc w:val="center"/>
        </w:trPr>
        <w:tc>
          <w:tcPr>
            <w:tcW w:w="5088" w:type="dxa"/>
            <w:shd w:val="clear" w:color="auto" w:fill="0070C0"/>
            <w:noWrap/>
            <w:vAlign w:val="center"/>
            <w:hideMark/>
          </w:tcPr>
          <w:p w:rsidR="00166316" w:rsidRPr="00166316" w:rsidRDefault="00166316" w:rsidP="00ED2CDC">
            <w:pPr>
              <w:spacing w:before="40" w:after="40" w:line="240" w:lineRule="auto"/>
              <w:jc w:val="center"/>
              <w:rPr>
                <w:rFonts w:eastAsia="Times New Roman" w:cstheme="minorHAnsi"/>
                <w:b/>
                <w:color w:val="FFFFFF" w:themeColor="background1"/>
                <w:sz w:val="20"/>
                <w:szCs w:val="20"/>
              </w:rPr>
            </w:pPr>
            <w:r w:rsidRPr="00166316">
              <w:rPr>
                <w:rFonts w:eastAsia="Times New Roman" w:cstheme="minorHAnsi"/>
                <w:b/>
                <w:color w:val="FFFFFF" w:themeColor="background1"/>
                <w:sz w:val="20"/>
                <w:szCs w:val="20"/>
              </w:rPr>
              <w:t xml:space="preserve">Măsuri de politică </w:t>
            </w:r>
            <w:r w:rsidR="00ED2CDC">
              <w:rPr>
                <w:rFonts w:eastAsia="Times New Roman" w:cstheme="minorHAnsi"/>
                <w:b/>
                <w:color w:val="FFFFFF" w:themeColor="background1"/>
                <w:sz w:val="20"/>
                <w:szCs w:val="20"/>
              </w:rPr>
              <w:t>fiscal-</w:t>
            </w:r>
            <w:r w:rsidR="004B6C23">
              <w:rPr>
                <w:rFonts w:eastAsia="Times New Roman" w:cstheme="minorHAnsi"/>
                <w:b/>
                <w:color w:val="FFFFFF" w:themeColor="background1"/>
                <w:sz w:val="20"/>
                <w:szCs w:val="20"/>
              </w:rPr>
              <w:t>bugetar</w:t>
            </w:r>
            <w:r w:rsidR="00ED2CDC">
              <w:rPr>
                <w:rFonts w:eastAsia="Times New Roman" w:cstheme="minorHAnsi"/>
                <w:b/>
                <w:color w:val="FFFFFF" w:themeColor="background1"/>
                <w:sz w:val="20"/>
                <w:szCs w:val="20"/>
              </w:rPr>
              <w:t>ă</w:t>
            </w:r>
            <w:r w:rsidR="004B6C23" w:rsidRPr="00166316">
              <w:rPr>
                <w:rFonts w:eastAsia="Times New Roman" w:cstheme="minorHAnsi"/>
                <w:b/>
                <w:color w:val="FFFFFF" w:themeColor="background1"/>
                <w:sz w:val="20"/>
                <w:szCs w:val="20"/>
              </w:rPr>
              <w:t xml:space="preserve"> </w:t>
            </w:r>
            <w:r w:rsidRPr="00166316">
              <w:rPr>
                <w:rFonts w:eastAsia="Times New Roman" w:cstheme="minorHAnsi"/>
                <w:b/>
                <w:color w:val="FFFFFF" w:themeColor="background1"/>
                <w:sz w:val="20"/>
                <w:szCs w:val="20"/>
              </w:rPr>
              <w:t>– cheltuieli bugetare</w:t>
            </w:r>
          </w:p>
        </w:tc>
        <w:tc>
          <w:tcPr>
            <w:tcW w:w="2127" w:type="dxa"/>
            <w:shd w:val="clear" w:color="auto" w:fill="0070C0"/>
            <w:noWrap/>
            <w:vAlign w:val="center"/>
            <w:hideMark/>
          </w:tcPr>
          <w:p w:rsidR="00166316" w:rsidRPr="00166316" w:rsidRDefault="00166316" w:rsidP="00CF4281">
            <w:pPr>
              <w:spacing w:before="40" w:after="40" w:line="240" w:lineRule="auto"/>
              <w:jc w:val="center"/>
              <w:rPr>
                <w:rFonts w:eastAsia="Times New Roman" w:cstheme="minorHAnsi"/>
                <w:b/>
                <w:color w:val="FFFFFF" w:themeColor="background1"/>
                <w:sz w:val="20"/>
                <w:szCs w:val="20"/>
              </w:rPr>
            </w:pPr>
            <w:r w:rsidRPr="00166316">
              <w:rPr>
                <w:rFonts w:eastAsia="Times New Roman" w:cstheme="minorHAnsi"/>
                <w:b/>
                <w:color w:val="FFFFFF" w:themeColor="background1"/>
                <w:sz w:val="20"/>
                <w:szCs w:val="20"/>
              </w:rPr>
              <w:t>Impact bugetar (mil. lei)</w:t>
            </w:r>
          </w:p>
        </w:tc>
        <w:tc>
          <w:tcPr>
            <w:tcW w:w="2566" w:type="dxa"/>
            <w:shd w:val="clear" w:color="auto" w:fill="0070C0"/>
            <w:noWrap/>
            <w:vAlign w:val="center"/>
            <w:hideMark/>
          </w:tcPr>
          <w:p w:rsidR="00166316" w:rsidRPr="00166316" w:rsidRDefault="00166316" w:rsidP="00CF4281">
            <w:pPr>
              <w:spacing w:before="40" w:after="40" w:line="240" w:lineRule="auto"/>
              <w:jc w:val="center"/>
              <w:rPr>
                <w:rFonts w:eastAsia="Times New Roman" w:cstheme="minorHAnsi"/>
                <w:b/>
                <w:color w:val="FFFFFF" w:themeColor="background1"/>
                <w:sz w:val="20"/>
                <w:szCs w:val="20"/>
              </w:rPr>
            </w:pPr>
            <w:r w:rsidRPr="00166316">
              <w:rPr>
                <w:rFonts w:eastAsia="Times New Roman" w:cstheme="minorHAnsi"/>
                <w:b/>
                <w:color w:val="FFFFFF" w:themeColor="background1"/>
                <w:sz w:val="20"/>
                <w:szCs w:val="20"/>
              </w:rPr>
              <w:t>Categoria de cheltuieli</w:t>
            </w:r>
          </w:p>
        </w:tc>
      </w:tr>
      <w:tr w:rsidR="00166316" w:rsidRPr="00166316" w:rsidTr="00787D43">
        <w:trPr>
          <w:trHeight w:val="452"/>
          <w:jc w:val="center"/>
        </w:trPr>
        <w:tc>
          <w:tcPr>
            <w:tcW w:w="5088" w:type="dxa"/>
            <w:shd w:val="clear" w:color="auto" w:fill="548DD4" w:themeFill="text2" w:themeFillTint="99"/>
            <w:noWrap/>
            <w:vAlign w:val="center"/>
            <w:hideMark/>
          </w:tcPr>
          <w:p w:rsidR="00166316" w:rsidRPr="00166316" w:rsidRDefault="00166316" w:rsidP="00CF4281">
            <w:pPr>
              <w:spacing w:before="40" w:after="40" w:line="240" w:lineRule="auto"/>
              <w:rPr>
                <w:rFonts w:eastAsia="Times New Roman" w:cstheme="minorHAnsi"/>
                <w:b/>
                <w:sz w:val="20"/>
                <w:szCs w:val="20"/>
              </w:rPr>
            </w:pPr>
            <w:r w:rsidRPr="00166316">
              <w:rPr>
                <w:rFonts w:eastAsia="Times New Roman" w:cstheme="minorHAnsi"/>
                <w:b/>
                <w:sz w:val="20"/>
                <w:szCs w:val="20"/>
              </w:rPr>
              <w:t>Total</w:t>
            </w:r>
          </w:p>
        </w:tc>
        <w:tc>
          <w:tcPr>
            <w:tcW w:w="2127" w:type="dxa"/>
            <w:shd w:val="clear" w:color="auto" w:fill="548DD4" w:themeFill="text2" w:themeFillTint="99"/>
            <w:noWrap/>
            <w:vAlign w:val="center"/>
            <w:hideMark/>
          </w:tcPr>
          <w:p w:rsidR="00166316" w:rsidRPr="00166316" w:rsidRDefault="00166316" w:rsidP="00CF4281">
            <w:pPr>
              <w:spacing w:before="40" w:after="40" w:line="240" w:lineRule="auto"/>
              <w:jc w:val="center"/>
              <w:rPr>
                <w:rFonts w:eastAsia="Times New Roman" w:cstheme="minorHAnsi"/>
                <w:b/>
                <w:sz w:val="20"/>
                <w:szCs w:val="20"/>
              </w:rPr>
            </w:pPr>
            <w:r w:rsidRPr="00166316">
              <w:rPr>
                <w:rFonts w:eastAsia="Times New Roman" w:cstheme="minorHAnsi"/>
                <w:b/>
                <w:sz w:val="20"/>
                <w:szCs w:val="20"/>
              </w:rPr>
              <w:t>15.608</w:t>
            </w:r>
          </w:p>
        </w:tc>
        <w:tc>
          <w:tcPr>
            <w:tcW w:w="2566" w:type="dxa"/>
            <w:shd w:val="clear" w:color="auto" w:fill="548DD4" w:themeFill="text2" w:themeFillTint="99"/>
            <w:noWrap/>
            <w:vAlign w:val="center"/>
            <w:hideMark/>
          </w:tcPr>
          <w:p w:rsidR="00166316" w:rsidRPr="00166316" w:rsidRDefault="00166316" w:rsidP="00CF4281">
            <w:pPr>
              <w:spacing w:before="40" w:after="40" w:line="240" w:lineRule="auto"/>
              <w:jc w:val="center"/>
              <w:rPr>
                <w:rFonts w:eastAsia="Times New Roman" w:cstheme="minorHAnsi"/>
                <w:sz w:val="20"/>
                <w:szCs w:val="20"/>
              </w:rPr>
            </w:pPr>
          </w:p>
        </w:tc>
      </w:tr>
      <w:tr w:rsidR="00166316" w:rsidRPr="00166316" w:rsidTr="00787D43">
        <w:trPr>
          <w:trHeight w:val="679"/>
          <w:jc w:val="center"/>
        </w:trPr>
        <w:tc>
          <w:tcPr>
            <w:tcW w:w="5088" w:type="dxa"/>
            <w:shd w:val="clear" w:color="auto" w:fill="auto"/>
            <w:noWrap/>
            <w:vAlign w:val="center"/>
            <w:hideMark/>
          </w:tcPr>
          <w:p w:rsidR="00166316" w:rsidRPr="00166316" w:rsidRDefault="00166316" w:rsidP="00CF4281">
            <w:pPr>
              <w:spacing w:before="40" w:after="40" w:line="240" w:lineRule="auto"/>
              <w:rPr>
                <w:rFonts w:eastAsia="Times New Roman" w:cstheme="minorHAnsi"/>
                <w:sz w:val="20"/>
                <w:szCs w:val="20"/>
              </w:rPr>
            </w:pPr>
            <w:r w:rsidRPr="00166316">
              <w:rPr>
                <w:rFonts w:eastAsia="Times New Roman" w:cstheme="minorHAnsi"/>
                <w:sz w:val="20"/>
                <w:szCs w:val="20"/>
              </w:rPr>
              <w:t>Majorarea punctului de pensie la 1.265 lei de la 1 septembrie 2019 (4 luni din an)</w:t>
            </w:r>
          </w:p>
        </w:tc>
        <w:tc>
          <w:tcPr>
            <w:tcW w:w="2127"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3.240</w:t>
            </w:r>
          </w:p>
        </w:tc>
        <w:tc>
          <w:tcPr>
            <w:tcW w:w="2566"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Asistență socială</w:t>
            </w:r>
          </w:p>
        </w:tc>
      </w:tr>
      <w:tr w:rsidR="00166316" w:rsidRPr="00166316" w:rsidTr="00787D43">
        <w:trPr>
          <w:trHeight w:val="668"/>
          <w:jc w:val="center"/>
        </w:trPr>
        <w:tc>
          <w:tcPr>
            <w:tcW w:w="5088" w:type="dxa"/>
            <w:shd w:val="clear" w:color="auto" w:fill="auto"/>
            <w:noWrap/>
            <w:vAlign w:val="center"/>
            <w:hideMark/>
          </w:tcPr>
          <w:p w:rsidR="00166316" w:rsidRPr="00166316" w:rsidRDefault="00166316" w:rsidP="00CF4281">
            <w:pPr>
              <w:spacing w:before="40" w:after="40" w:line="240" w:lineRule="auto"/>
              <w:rPr>
                <w:rFonts w:eastAsia="Times New Roman" w:cstheme="minorHAnsi"/>
                <w:sz w:val="20"/>
                <w:szCs w:val="20"/>
              </w:rPr>
            </w:pPr>
            <w:r w:rsidRPr="00166316">
              <w:rPr>
                <w:rFonts w:eastAsia="Times New Roman" w:cstheme="minorHAnsi"/>
                <w:sz w:val="20"/>
                <w:szCs w:val="20"/>
              </w:rPr>
              <w:t>Indicele de corecție prevăzut l art. 170 din Legea nr. 263/2010 privind sistemul unitar de pensii publice, cu modificările și completările ulterioare este 1,2</w:t>
            </w:r>
          </w:p>
        </w:tc>
        <w:tc>
          <w:tcPr>
            <w:tcW w:w="2127"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237,2</w:t>
            </w:r>
          </w:p>
        </w:tc>
        <w:tc>
          <w:tcPr>
            <w:tcW w:w="2566"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Asistență socială</w:t>
            </w:r>
          </w:p>
        </w:tc>
      </w:tr>
      <w:tr w:rsidR="00166316" w:rsidRPr="00166316" w:rsidTr="00787D43">
        <w:trPr>
          <w:trHeight w:val="1684"/>
          <w:jc w:val="center"/>
        </w:trPr>
        <w:tc>
          <w:tcPr>
            <w:tcW w:w="5088" w:type="dxa"/>
            <w:shd w:val="clear" w:color="auto" w:fill="auto"/>
            <w:vAlign w:val="center"/>
            <w:hideMark/>
          </w:tcPr>
          <w:p w:rsidR="00166316" w:rsidRPr="00166316" w:rsidRDefault="00166316" w:rsidP="00CF4281">
            <w:pPr>
              <w:spacing w:before="40" w:after="40" w:line="240" w:lineRule="auto"/>
              <w:rPr>
                <w:rFonts w:eastAsia="Times New Roman" w:cstheme="minorHAnsi"/>
                <w:sz w:val="20"/>
                <w:szCs w:val="20"/>
              </w:rPr>
            </w:pPr>
            <w:r w:rsidRPr="00166316">
              <w:rPr>
                <w:rFonts w:eastAsia="Times New Roman" w:cstheme="minorHAnsi"/>
                <w:sz w:val="20"/>
                <w:szCs w:val="20"/>
              </w:rPr>
              <w:t>Începând cu 1 ianuarie 2019 salariile de bază, indemnizațiile de încadrare se stabilesc în conformitate cu prevederile art. 38 alin. (4) din Legea-cadru nr. 153/2017 privind salarizarea personalului plătit din fonduri publice, cu modificările și completările ulterioare.</w:t>
            </w:r>
          </w:p>
        </w:tc>
        <w:tc>
          <w:tcPr>
            <w:tcW w:w="2127"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8.930,70</w:t>
            </w:r>
          </w:p>
        </w:tc>
        <w:tc>
          <w:tcPr>
            <w:tcW w:w="2566"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Cheltuieli de personal</w:t>
            </w:r>
          </w:p>
        </w:tc>
      </w:tr>
      <w:tr w:rsidR="00166316" w:rsidRPr="00166316" w:rsidTr="00787D43">
        <w:trPr>
          <w:trHeight w:val="226"/>
          <w:jc w:val="center"/>
        </w:trPr>
        <w:tc>
          <w:tcPr>
            <w:tcW w:w="5088" w:type="dxa"/>
            <w:shd w:val="clear" w:color="auto" w:fill="auto"/>
            <w:noWrap/>
            <w:vAlign w:val="center"/>
            <w:hideMark/>
          </w:tcPr>
          <w:p w:rsidR="00166316" w:rsidRPr="00166316" w:rsidRDefault="00166316" w:rsidP="00CF4281">
            <w:pPr>
              <w:spacing w:before="40" w:after="40" w:line="240" w:lineRule="auto"/>
              <w:rPr>
                <w:rFonts w:eastAsia="Times New Roman" w:cstheme="minorHAnsi"/>
                <w:sz w:val="20"/>
                <w:szCs w:val="20"/>
              </w:rPr>
            </w:pPr>
            <w:r w:rsidRPr="00166316">
              <w:rPr>
                <w:rFonts w:eastAsia="Times New Roman" w:cstheme="minorHAnsi"/>
                <w:sz w:val="20"/>
                <w:szCs w:val="20"/>
              </w:rPr>
              <w:t>Acordarea indemnizației de hrană prevăzută la art. 18 din Legea-cadru nr. 153/2017, cu modificările și completările ulterioare</w:t>
            </w:r>
          </w:p>
        </w:tc>
        <w:tc>
          <w:tcPr>
            <w:tcW w:w="2127"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3.200</w:t>
            </w:r>
          </w:p>
        </w:tc>
        <w:tc>
          <w:tcPr>
            <w:tcW w:w="2566" w:type="dxa"/>
            <w:shd w:val="clear" w:color="auto" w:fill="auto"/>
            <w:noWrap/>
            <w:vAlign w:val="center"/>
            <w:hideMark/>
          </w:tcPr>
          <w:p w:rsidR="00166316" w:rsidRPr="00166316" w:rsidRDefault="00166316" w:rsidP="00CF4281">
            <w:pPr>
              <w:spacing w:before="40" w:after="40" w:line="240" w:lineRule="auto"/>
              <w:jc w:val="center"/>
              <w:rPr>
                <w:rFonts w:eastAsia="Times New Roman" w:cstheme="minorHAnsi"/>
                <w:sz w:val="20"/>
                <w:szCs w:val="20"/>
              </w:rPr>
            </w:pPr>
            <w:r w:rsidRPr="00166316">
              <w:rPr>
                <w:rFonts w:eastAsia="Times New Roman" w:cstheme="minorHAnsi"/>
                <w:sz w:val="20"/>
                <w:szCs w:val="20"/>
              </w:rPr>
              <w:t>Cheltuieli de personal</w:t>
            </w:r>
          </w:p>
        </w:tc>
      </w:tr>
    </w:tbl>
    <w:p w:rsidR="00166316" w:rsidRPr="00166316" w:rsidRDefault="00166316" w:rsidP="00787D43">
      <w:pPr>
        <w:jc w:val="center"/>
        <w:rPr>
          <w:i/>
          <w:sz w:val="24"/>
          <w:szCs w:val="24"/>
        </w:rPr>
      </w:pPr>
      <w:r w:rsidRPr="00166316">
        <w:rPr>
          <w:sz w:val="24"/>
          <w:szCs w:val="24"/>
        </w:rPr>
        <w:t xml:space="preserve">Sursa: </w:t>
      </w:r>
      <w:r w:rsidRPr="00166316">
        <w:rPr>
          <w:i/>
          <w:sz w:val="24"/>
          <w:szCs w:val="24"/>
        </w:rPr>
        <w:t>Ministerul Finanțelor Publice</w:t>
      </w:r>
    </w:p>
    <w:p w:rsidR="00166316" w:rsidRPr="00166316" w:rsidRDefault="00166316" w:rsidP="00166316">
      <w:pPr>
        <w:spacing w:after="0" w:line="240" w:lineRule="auto"/>
        <w:sectPr w:rsidR="00166316" w:rsidRPr="00166316" w:rsidSect="00CF4281">
          <w:pgSz w:w="11906" w:h="16838"/>
          <w:pgMar w:top="1417" w:right="1417" w:bottom="1417" w:left="1417" w:header="709" w:footer="709" w:gutter="284"/>
          <w:cols w:space="708"/>
          <w:docGrid w:linePitch="360"/>
        </w:sectPr>
      </w:pPr>
    </w:p>
    <w:tbl>
      <w:tblPr>
        <w:tblW w:w="16161" w:type="dxa"/>
        <w:tblInd w:w="-1003" w:type="dxa"/>
        <w:tblLayout w:type="fixed"/>
        <w:tblLook w:val="04A0" w:firstRow="1" w:lastRow="0" w:firstColumn="1" w:lastColumn="0" w:noHBand="0" w:noVBand="1"/>
      </w:tblPr>
      <w:tblGrid>
        <w:gridCol w:w="3235"/>
        <w:gridCol w:w="1444"/>
        <w:gridCol w:w="850"/>
        <w:gridCol w:w="1134"/>
        <w:gridCol w:w="993"/>
        <w:gridCol w:w="3153"/>
        <w:gridCol w:w="1418"/>
        <w:gridCol w:w="1417"/>
        <w:gridCol w:w="992"/>
        <w:gridCol w:w="1525"/>
      </w:tblGrid>
      <w:tr w:rsidR="00166316" w:rsidRPr="00166316" w:rsidTr="00CF4281">
        <w:trPr>
          <w:trHeight w:val="401"/>
        </w:trPr>
        <w:tc>
          <w:tcPr>
            <w:tcW w:w="3235"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4"/>
                <w:szCs w:val="24"/>
              </w:rPr>
            </w:pPr>
            <w:r w:rsidRPr="00166316">
              <w:rPr>
                <w:rFonts w:eastAsia="Times New Roman" w:cstheme="minorHAnsi"/>
                <w:b/>
                <w:bCs/>
                <w:color w:val="FFFFFF"/>
                <w:sz w:val="24"/>
                <w:szCs w:val="24"/>
              </w:rPr>
              <w:lastRenderedPageBreak/>
              <w:t>Anexa nr. 2 – Proiecție de venituri pe baza cadrului macroeconomic de iarnă furnizat de CNSP în ianuarie 2019</w:t>
            </w:r>
          </w:p>
        </w:tc>
        <w:tc>
          <w:tcPr>
            <w:tcW w:w="1444"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2018</w:t>
            </w:r>
          </w:p>
        </w:tc>
        <w:tc>
          <w:tcPr>
            <w:tcW w:w="11482" w:type="dxa"/>
            <w:gridSpan w:val="8"/>
            <w:tcBorders>
              <w:top w:val="single" w:sz="8" w:space="0" w:color="auto"/>
              <w:left w:val="nil"/>
              <w:bottom w:val="single" w:sz="8" w:space="0" w:color="auto"/>
              <w:right w:val="single" w:sz="8" w:space="0" w:color="000000"/>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2019</w:t>
            </w:r>
          </w:p>
        </w:tc>
      </w:tr>
      <w:tr w:rsidR="00166316" w:rsidRPr="00166316" w:rsidTr="00CF4281">
        <w:trPr>
          <w:trHeight w:val="1399"/>
        </w:trPr>
        <w:tc>
          <w:tcPr>
            <w:tcW w:w="3235" w:type="dxa"/>
            <w:vMerge/>
            <w:tcBorders>
              <w:top w:val="single" w:sz="8" w:space="0" w:color="auto"/>
              <w:left w:val="single" w:sz="8" w:space="0" w:color="auto"/>
              <w:bottom w:val="single" w:sz="8" w:space="0" w:color="000000"/>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16"/>
                <w:szCs w:val="16"/>
              </w:rPr>
            </w:pPr>
          </w:p>
        </w:tc>
        <w:tc>
          <w:tcPr>
            <w:tcW w:w="1444"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Sume potrivit execuției bugetare din decembrie 2018 (inclusiv </w:t>
            </w:r>
            <w:r w:rsidRPr="00166316">
              <w:rPr>
                <w:rFonts w:eastAsia="Times New Roman" w:cstheme="minorHAnsi"/>
                <w:b/>
                <w:bCs/>
                <w:i/>
                <w:iCs/>
                <w:color w:val="FFFFFF"/>
                <w:sz w:val="16"/>
                <w:szCs w:val="16"/>
              </w:rPr>
              <w:t>swap</w:t>
            </w:r>
            <w:r w:rsidRPr="00166316">
              <w:rPr>
                <w:rFonts w:eastAsia="Times New Roman" w:cstheme="minorHAnsi"/>
                <w:b/>
                <w:bCs/>
                <w:color w:val="FFFFFF"/>
                <w:sz w:val="16"/>
                <w:szCs w:val="16"/>
              </w:rPr>
              <w:t>) (mil. lei)</w:t>
            </w:r>
          </w:p>
        </w:tc>
        <w:tc>
          <w:tcPr>
            <w:tcW w:w="850"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Influența schemei de compensare (mil. lei)</w:t>
            </w:r>
          </w:p>
        </w:tc>
        <w:tc>
          <w:tcPr>
            <w:tcW w:w="1134"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color w:val="FFFFFF"/>
                <w:sz w:val="16"/>
                <w:szCs w:val="16"/>
              </w:rPr>
              <w:t xml:space="preserve">Sume nete de </w:t>
            </w:r>
            <w:r w:rsidRPr="00166316">
              <w:rPr>
                <w:rFonts w:eastAsia="Times New Roman" w:cstheme="minorHAnsi"/>
                <w:b/>
                <w:bCs/>
                <w:i/>
                <w:iCs/>
                <w:color w:val="FFFFFF"/>
                <w:sz w:val="16"/>
                <w:szCs w:val="16"/>
              </w:rPr>
              <w:t>swap</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993"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Măsuri de politică fiscală</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3153"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Explicații</w:t>
            </w:r>
          </w:p>
        </w:tc>
        <w:tc>
          <w:tcPr>
            <w:tcW w:w="1418"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Baze macroeconomice relevante</w:t>
            </w:r>
          </w:p>
        </w:tc>
        <w:tc>
          <w:tcPr>
            <w:tcW w:w="1417"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Proiecția veniturilor BGC consistentă cu cadrul macroeconomic furnizat de CN</w:t>
            </w:r>
            <w:r w:rsidR="009F094F">
              <w:rPr>
                <w:rFonts w:eastAsia="Times New Roman" w:cstheme="minorHAnsi"/>
                <w:b/>
                <w:bCs/>
                <w:color w:val="FFFFFF"/>
                <w:sz w:val="16"/>
                <w:szCs w:val="16"/>
              </w:rPr>
              <w:t>S</w:t>
            </w:r>
            <w:r w:rsidRPr="00166316">
              <w:rPr>
                <w:rFonts w:eastAsia="Times New Roman" w:cstheme="minorHAnsi"/>
                <w:b/>
                <w:bCs/>
                <w:color w:val="FFFFFF"/>
                <w:sz w:val="16"/>
                <w:szCs w:val="16"/>
              </w:rPr>
              <w:t>P iarna 2019 (mil. lei)</w:t>
            </w:r>
          </w:p>
        </w:tc>
        <w:tc>
          <w:tcPr>
            <w:tcW w:w="992"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Venituri BGC prevăzute in proiectul de buget 2019 (mil. lei)</w:t>
            </w:r>
          </w:p>
        </w:tc>
        <w:tc>
          <w:tcPr>
            <w:tcW w:w="1525"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Diferențe proiecție venituri consistentă cu cadrul macroeconomic de iarna față de venituri proiect buget  (mil. lei)</w:t>
            </w:r>
          </w:p>
        </w:tc>
      </w:tr>
      <w:tr w:rsidR="00166316" w:rsidRPr="00166316" w:rsidTr="00CF4281">
        <w:trPr>
          <w:trHeight w:val="271"/>
        </w:trPr>
        <w:tc>
          <w:tcPr>
            <w:tcW w:w="3235" w:type="dxa"/>
            <w:vMerge/>
            <w:tcBorders>
              <w:top w:val="single" w:sz="8" w:space="0" w:color="auto"/>
              <w:left w:val="single" w:sz="8" w:space="0" w:color="auto"/>
              <w:bottom w:val="single" w:sz="8" w:space="0" w:color="000000"/>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16"/>
                <w:szCs w:val="16"/>
              </w:rPr>
            </w:pPr>
          </w:p>
        </w:tc>
        <w:tc>
          <w:tcPr>
            <w:tcW w:w="1444" w:type="dxa"/>
            <w:tcBorders>
              <w:top w:val="nil"/>
              <w:left w:val="nil"/>
              <w:bottom w:val="nil"/>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1</w:t>
            </w:r>
          </w:p>
        </w:tc>
        <w:tc>
          <w:tcPr>
            <w:tcW w:w="850" w:type="dxa"/>
            <w:tcBorders>
              <w:top w:val="nil"/>
              <w:left w:val="nil"/>
              <w:bottom w:val="nil"/>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2</w:t>
            </w:r>
          </w:p>
        </w:tc>
        <w:tc>
          <w:tcPr>
            <w:tcW w:w="1134" w:type="dxa"/>
            <w:tcBorders>
              <w:top w:val="nil"/>
              <w:left w:val="nil"/>
              <w:bottom w:val="nil"/>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3 = 1-2</w:t>
            </w:r>
          </w:p>
        </w:tc>
        <w:tc>
          <w:tcPr>
            <w:tcW w:w="993" w:type="dxa"/>
            <w:tcBorders>
              <w:top w:val="nil"/>
              <w:left w:val="nil"/>
              <w:bottom w:val="nil"/>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4</w:t>
            </w:r>
          </w:p>
        </w:tc>
        <w:tc>
          <w:tcPr>
            <w:tcW w:w="3153"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5</w:t>
            </w:r>
          </w:p>
        </w:tc>
        <w:tc>
          <w:tcPr>
            <w:tcW w:w="1418"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6</w:t>
            </w:r>
          </w:p>
        </w:tc>
        <w:tc>
          <w:tcPr>
            <w:tcW w:w="1417"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7</w:t>
            </w:r>
          </w:p>
        </w:tc>
        <w:tc>
          <w:tcPr>
            <w:tcW w:w="992"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8</w:t>
            </w:r>
          </w:p>
        </w:tc>
        <w:tc>
          <w:tcPr>
            <w:tcW w:w="1525"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9</w:t>
            </w:r>
          </w:p>
        </w:tc>
      </w:tr>
      <w:tr w:rsidR="00166316" w:rsidRPr="00166316" w:rsidTr="00CF4281">
        <w:trPr>
          <w:trHeight w:val="335"/>
        </w:trPr>
        <w:tc>
          <w:tcPr>
            <w:tcW w:w="3235" w:type="dxa"/>
            <w:tcBorders>
              <w:top w:val="nil"/>
              <w:left w:val="single" w:sz="8" w:space="0" w:color="auto"/>
              <w:bottom w:val="single" w:sz="8" w:space="0" w:color="auto"/>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 xml:space="preserve"> VENITURI TOTALE     </w:t>
            </w:r>
          </w:p>
        </w:tc>
        <w:tc>
          <w:tcPr>
            <w:tcW w:w="1444" w:type="dxa"/>
            <w:tcBorders>
              <w:top w:val="single" w:sz="8" w:space="0" w:color="auto"/>
              <w:left w:val="single" w:sz="4" w:space="0" w:color="808080"/>
              <w:bottom w:val="nil"/>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295.118,2</w:t>
            </w:r>
          </w:p>
        </w:tc>
        <w:tc>
          <w:tcPr>
            <w:tcW w:w="850" w:type="dxa"/>
            <w:tcBorders>
              <w:top w:val="single" w:sz="8" w:space="0" w:color="auto"/>
              <w:left w:val="single" w:sz="4" w:space="0" w:color="808080"/>
              <w:bottom w:val="nil"/>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889,2</w:t>
            </w:r>
          </w:p>
        </w:tc>
        <w:tc>
          <w:tcPr>
            <w:tcW w:w="1134" w:type="dxa"/>
            <w:tcBorders>
              <w:top w:val="single" w:sz="8" w:space="0" w:color="auto"/>
              <w:left w:val="single" w:sz="4" w:space="0" w:color="808080"/>
              <w:bottom w:val="nil"/>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294.229,0</w:t>
            </w:r>
          </w:p>
        </w:tc>
        <w:tc>
          <w:tcPr>
            <w:tcW w:w="993" w:type="dxa"/>
            <w:tcBorders>
              <w:top w:val="single" w:sz="8" w:space="0" w:color="auto"/>
              <w:left w:val="single" w:sz="4" w:space="0" w:color="808080"/>
              <w:bottom w:val="single" w:sz="8" w:space="0" w:color="auto"/>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color w:val="000000"/>
                <w:sz w:val="16"/>
                <w:szCs w:val="16"/>
              </w:rPr>
            </w:pPr>
          </w:p>
        </w:tc>
        <w:tc>
          <w:tcPr>
            <w:tcW w:w="3153" w:type="dxa"/>
            <w:tcBorders>
              <w:top w:val="nil"/>
              <w:left w:val="nil"/>
              <w:bottom w:val="single" w:sz="8" w:space="0" w:color="auto"/>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sz w:val="16"/>
                <w:szCs w:val="16"/>
              </w:rPr>
            </w:pPr>
          </w:p>
        </w:tc>
        <w:tc>
          <w:tcPr>
            <w:tcW w:w="1418" w:type="dxa"/>
            <w:tcBorders>
              <w:top w:val="nil"/>
              <w:left w:val="nil"/>
              <w:bottom w:val="single" w:sz="8" w:space="0" w:color="auto"/>
              <w:right w:val="nil"/>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color w:val="000000"/>
                <w:sz w:val="16"/>
                <w:szCs w:val="16"/>
              </w:rPr>
            </w:pPr>
          </w:p>
        </w:tc>
        <w:tc>
          <w:tcPr>
            <w:tcW w:w="1417" w:type="dxa"/>
            <w:tcBorders>
              <w:top w:val="nil"/>
              <w:left w:val="single" w:sz="8" w:space="0" w:color="auto"/>
              <w:bottom w:val="single" w:sz="8" w:space="0" w:color="auto"/>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color w:val="000000"/>
                <w:sz w:val="16"/>
                <w:szCs w:val="16"/>
              </w:rPr>
            </w:pPr>
            <w:r w:rsidRPr="00166316">
              <w:rPr>
                <w:rFonts w:eastAsia="Times New Roman" w:cstheme="minorHAnsi"/>
                <w:b/>
                <w:bCs/>
                <w:color w:val="000000"/>
                <w:sz w:val="16"/>
                <w:szCs w:val="16"/>
              </w:rPr>
              <w:t>334.839,0</w:t>
            </w:r>
          </w:p>
        </w:tc>
        <w:tc>
          <w:tcPr>
            <w:tcW w:w="992" w:type="dxa"/>
            <w:tcBorders>
              <w:top w:val="nil"/>
              <w:left w:val="nil"/>
              <w:bottom w:val="single" w:sz="8" w:space="0" w:color="auto"/>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color w:val="000000"/>
                <w:sz w:val="16"/>
                <w:szCs w:val="16"/>
              </w:rPr>
            </w:pPr>
            <w:r w:rsidRPr="00166316">
              <w:rPr>
                <w:rFonts w:eastAsia="Times New Roman" w:cstheme="minorHAnsi"/>
                <w:b/>
                <w:bCs/>
                <w:color w:val="000000"/>
                <w:sz w:val="16"/>
                <w:szCs w:val="16"/>
              </w:rPr>
              <w:t>341.510,0</w:t>
            </w:r>
          </w:p>
        </w:tc>
        <w:tc>
          <w:tcPr>
            <w:tcW w:w="1525" w:type="dxa"/>
            <w:tcBorders>
              <w:top w:val="nil"/>
              <w:left w:val="nil"/>
              <w:bottom w:val="single" w:sz="8" w:space="0" w:color="auto"/>
              <w:right w:val="single" w:sz="8" w:space="0" w:color="auto"/>
            </w:tcBorders>
            <w:shd w:val="clear" w:color="auto" w:fill="548DD4" w:themeFill="text2" w:themeFillTint="99"/>
            <w:noWrap/>
            <w:vAlign w:val="center"/>
            <w:hideMark/>
          </w:tcPr>
          <w:p w:rsidR="00166316" w:rsidRPr="00166316" w:rsidRDefault="00166316" w:rsidP="00CF4281">
            <w:pPr>
              <w:spacing w:after="0" w:line="240" w:lineRule="auto"/>
              <w:jc w:val="center"/>
              <w:rPr>
                <w:rFonts w:eastAsia="Times New Roman" w:cstheme="minorHAnsi"/>
                <w:b/>
                <w:bCs/>
                <w:color w:val="000000"/>
                <w:sz w:val="16"/>
                <w:szCs w:val="16"/>
              </w:rPr>
            </w:pPr>
            <w:r w:rsidRPr="00166316">
              <w:rPr>
                <w:rFonts w:eastAsia="Times New Roman" w:cstheme="minorHAnsi"/>
                <w:b/>
                <w:bCs/>
                <w:color w:val="000000"/>
                <w:sz w:val="16"/>
                <w:szCs w:val="16"/>
              </w:rPr>
              <w:t>-6.671,0</w:t>
            </w:r>
          </w:p>
        </w:tc>
      </w:tr>
      <w:tr w:rsidR="00166316" w:rsidRPr="00166316" w:rsidTr="00CF4281">
        <w:trPr>
          <w:trHeight w:val="308"/>
        </w:trPr>
        <w:tc>
          <w:tcPr>
            <w:tcW w:w="3235"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 xml:space="preserve">Venituri curente </w:t>
            </w:r>
          </w:p>
        </w:tc>
        <w:tc>
          <w:tcPr>
            <w:tcW w:w="1444"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267.738,6</w:t>
            </w:r>
          </w:p>
        </w:tc>
        <w:tc>
          <w:tcPr>
            <w:tcW w:w="850"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889,2</w:t>
            </w:r>
          </w:p>
        </w:tc>
        <w:tc>
          <w:tcPr>
            <w:tcW w:w="1134"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266.849,4</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301.414,5</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307.985,8</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-6.571,3</w:t>
            </w:r>
          </w:p>
        </w:tc>
      </w:tr>
      <w:tr w:rsidR="00166316" w:rsidRPr="00166316" w:rsidTr="00CF4281">
        <w:trPr>
          <w:trHeight w:val="282"/>
        </w:trPr>
        <w:tc>
          <w:tcPr>
            <w:tcW w:w="3235"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 xml:space="preserve">Venituri fiscale    </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142.515,6</w:t>
            </w: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398,3</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142.117,2</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156.578,1</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162.447,8</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-5.869,8</w:t>
            </w:r>
          </w:p>
        </w:tc>
      </w:tr>
      <w:tr w:rsidR="00166316" w:rsidRPr="00166316" w:rsidTr="00CF4281">
        <w:trPr>
          <w:trHeight w:val="258"/>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Impozitul pe profit, salarii, venit și câștiguri din capital</w:t>
            </w:r>
          </w:p>
        </w:tc>
        <w:tc>
          <w:tcPr>
            <w:tcW w:w="1444" w:type="dxa"/>
            <w:tcBorders>
              <w:top w:val="nil"/>
              <w:left w:val="nil"/>
              <w:bottom w:val="single" w:sz="4" w:space="0" w:color="808080"/>
              <w:right w:val="single" w:sz="8" w:space="0" w:color="auto"/>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41.506,1</w:t>
            </w:r>
          </w:p>
        </w:tc>
        <w:tc>
          <w:tcPr>
            <w:tcW w:w="850" w:type="dxa"/>
            <w:tcBorders>
              <w:top w:val="nil"/>
              <w:left w:val="nil"/>
              <w:bottom w:val="single" w:sz="4" w:space="0" w:color="808080"/>
              <w:right w:val="single" w:sz="8" w:space="0" w:color="auto"/>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118,2</w:t>
            </w:r>
          </w:p>
        </w:tc>
        <w:tc>
          <w:tcPr>
            <w:tcW w:w="1134" w:type="dxa"/>
            <w:tcBorders>
              <w:top w:val="nil"/>
              <w:left w:val="nil"/>
              <w:bottom w:val="single" w:sz="4" w:space="0" w:color="808080"/>
              <w:right w:val="single" w:sz="8" w:space="0" w:color="auto"/>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41.387,9</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44.651,8</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44.257,2</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394,6</w:t>
            </w:r>
          </w:p>
        </w:tc>
      </w:tr>
      <w:tr w:rsidR="00166316" w:rsidRPr="00166316" w:rsidTr="00CF4281">
        <w:trPr>
          <w:trHeight w:val="805"/>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Impozit pe profit</w:t>
            </w:r>
          </w:p>
        </w:tc>
        <w:tc>
          <w:tcPr>
            <w:tcW w:w="1444" w:type="dxa"/>
            <w:tcBorders>
              <w:top w:val="nil"/>
              <w:left w:val="nil"/>
              <w:bottom w:val="single" w:sz="4" w:space="0" w:color="808080"/>
              <w:right w:val="single" w:sz="8" w:space="0" w:color="auto"/>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15.652,5</w:t>
            </w: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30,5</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15.622,0</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-155,8</w:t>
            </w: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MFP)*(1+</w:t>
            </w:r>
            <w:r w:rsidRPr="00166316">
              <w:rPr>
                <w:rFonts w:eastAsia="Gulim" w:cstheme="minorHAnsi"/>
                <w:color w:val="000000"/>
                <w:sz w:val="16"/>
                <w:szCs w:val="16"/>
              </w:rPr>
              <w:t>Δ</w:t>
            </w:r>
            <w:r w:rsidRPr="00166316">
              <w:rPr>
                <w:rFonts w:eastAsia="Times New Roman" w:cstheme="minorHAnsi"/>
                <w:color w:val="000000"/>
                <w:sz w:val="16"/>
                <w:szCs w:val="16"/>
              </w:rPr>
              <w:t>%bază macroeconomică relevantă)  la care se adaugă măsurile de politică fiscală</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PIB nominal (+7,68%)</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16.795,4</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17.192,9</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-397,4</w:t>
            </w:r>
          </w:p>
        </w:tc>
      </w:tr>
      <w:tr w:rsidR="00166316" w:rsidRPr="00166316" w:rsidTr="00CF4281">
        <w:trPr>
          <w:trHeight w:val="2095"/>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Impozitul pe salarii și venit</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22.679,0</w:t>
            </w: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87,7</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22.591,3</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-825,4</w:t>
            </w: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 (ajustată prin eliminarea lunii ianuarie când cota de impozit pe venit era 16% și a impozitului pe venit aferent titlurilor executorii plătite în anul 2018) extrapolată cu nr. de salariați și dinamica câștigurilor salariale. Rezultatul a fost apoi ajustat pentru a ține cont de măsurile de politică fiscală și de titlurile executorii ce urmează a fi plătite în anul 2019</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Numărul de salariați (+3,4%)                                    Câștigul salarial mediu brut (+14,7%)</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24.438,0</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23.663,0</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775,0</w:t>
            </w:r>
          </w:p>
        </w:tc>
      </w:tr>
      <w:tr w:rsidR="00166316" w:rsidRPr="00166316" w:rsidTr="00CF4281">
        <w:trPr>
          <w:trHeight w:val="675"/>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Alte impozite pe venit, profit și câștiguri din capital</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3.174,7</w:t>
            </w: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3.174,7</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MFP)*(1+</w:t>
            </w:r>
            <w:r w:rsidRPr="00166316">
              <w:rPr>
                <w:rFonts w:eastAsia="Gulim" w:cstheme="minorHAnsi"/>
                <w:color w:val="000000"/>
                <w:sz w:val="16"/>
                <w:szCs w:val="16"/>
              </w:rPr>
              <w:t>Δ</w:t>
            </w:r>
            <w:r w:rsidRPr="00166316">
              <w:rPr>
                <w:rFonts w:eastAsia="Times New Roman" w:cstheme="minorHAnsi"/>
                <w:color w:val="000000"/>
                <w:sz w:val="16"/>
                <w:szCs w:val="16"/>
              </w:rPr>
              <w:t>%bază macroeconomică relevantă)</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PIB nominal (+7,68%)</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3.418,4</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3.401,4</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17,0</w:t>
            </w:r>
          </w:p>
        </w:tc>
      </w:tr>
      <w:tr w:rsidR="00166316" w:rsidRPr="00166316" w:rsidTr="00CF4281">
        <w:trPr>
          <w:trHeight w:val="411"/>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Impozite și taxe pe proprietate</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5.469,4</w:t>
            </w: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5.469,4</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b/>
                <w:bCs/>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6.087,1</w:t>
            </w:r>
          </w:p>
        </w:tc>
        <w:tc>
          <w:tcPr>
            <w:tcW w:w="992"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6.087,1</w:t>
            </w:r>
          </w:p>
        </w:tc>
        <w:tc>
          <w:tcPr>
            <w:tcW w:w="1525"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r w:rsidR="00166316" w:rsidRPr="00166316" w:rsidTr="00CF4281">
        <w:trPr>
          <w:trHeight w:val="403"/>
        </w:trPr>
        <w:tc>
          <w:tcPr>
            <w:tcW w:w="3235" w:type="dxa"/>
            <w:tcBorders>
              <w:top w:val="single" w:sz="4" w:space="0" w:color="808080"/>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Impozite și taxe pe bunuri și servicii</w:t>
            </w:r>
          </w:p>
        </w:tc>
        <w:tc>
          <w:tcPr>
            <w:tcW w:w="1444"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93.776,0</w:t>
            </w:r>
          </w:p>
        </w:tc>
        <w:tc>
          <w:tcPr>
            <w:tcW w:w="850"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212,5</w:t>
            </w:r>
          </w:p>
        </w:tc>
        <w:tc>
          <w:tcPr>
            <w:tcW w:w="1134"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93.563,5</w:t>
            </w:r>
          </w:p>
        </w:tc>
        <w:tc>
          <w:tcPr>
            <w:tcW w:w="993" w:type="dxa"/>
            <w:tcBorders>
              <w:top w:val="single" w:sz="4" w:space="0" w:color="808080"/>
              <w:left w:val="single" w:sz="4" w:space="0" w:color="808080"/>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single" w:sz="4" w:space="0" w:color="808080"/>
              <w:left w:val="nil"/>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8" w:type="dxa"/>
            <w:tcBorders>
              <w:top w:val="single" w:sz="4" w:space="0" w:color="808080"/>
              <w:left w:val="nil"/>
              <w:bottom w:val="single" w:sz="8" w:space="0" w:color="auto"/>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single" w:sz="4" w:space="0" w:color="808080"/>
              <w:left w:val="single" w:sz="8" w:space="0" w:color="auto"/>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104.003,3</w:t>
            </w:r>
          </w:p>
        </w:tc>
        <w:tc>
          <w:tcPr>
            <w:tcW w:w="992"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110.190,8</w:t>
            </w:r>
          </w:p>
        </w:tc>
        <w:tc>
          <w:tcPr>
            <w:tcW w:w="1525"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-6.187,5</w:t>
            </w:r>
          </w:p>
        </w:tc>
      </w:tr>
    </w:tbl>
    <w:p w:rsidR="00166316" w:rsidRPr="00166316" w:rsidRDefault="00166316" w:rsidP="00166316"/>
    <w:tbl>
      <w:tblPr>
        <w:tblW w:w="16161" w:type="dxa"/>
        <w:tblInd w:w="-1003" w:type="dxa"/>
        <w:tblLayout w:type="fixed"/>
        <w:tblLook w:val="04A0" w:firstRow="1" w:lastRow="0" w:firstColumn="1" w:lastColumn="0" w:noHBand="0" w:noVBand="1"/>
      </w:tblPr>
      <w:tblGrid>
        <w:gridCol w:w="3235"/>
        <w:gridCol w:w="1444"/>
        <w:gridCol w:w="1134"/>
        <w:gridCol w:w="850"/>
        <w:gridCol w:w="993"/>
        <w:gridCol w:w="3153"/>
        <w:gridCol w:w="1418"/>
        <w:gridCol w:w="1417"/>
        <w:gridCol w:w="1099"/>
        <w:gridCol w:w="1418"/>
      </w:tblGrid>
      <w:tr w:rsidR="00166316" w:rsidRPr="00166316" w:rsidTr="00CF4281">
        <w:trPr>
          <w:trHeight w:val="401"/>
        </w:trPr>
        <w:tc>
          <w:tcPr>
            <w:tcW w:w="3235"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4"/>
                <w:szCs w:val="24"/>
              </w:rPr>
            </w:pPr>
            <w:r w:rsidRPr="00166316">
              <w:rPr>
                <w:rFonts w:eastAsia="Times New Roman" w:cstheme="minorHAnsi"/>
                <w:b/>
                <w:bCs/>
                <w:color w:val="FFFFFF"/>
                <w:sz w:val="24"/>
                <w:szCs w:val="24"/>
              </w:rPr>
              <w:lastRenderedPageBreak/>
              <w:t>Anexa nr. 2 – Proiecție de venituri pe baza cadrului macroeconomic de iarnă furnizat de CNSP în ianuarie 2019 (continuare)</w:t>
            </w:r>
          </w:p>
        </w:tc>
        <w:tc>
          <w:tcPr>
            <w:tcW w:w="1444"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2018</w:t>
            </w:r>
          </w:p>
        </w:tc>
        <w:tc>
          <w:tcPr>
            <w:tcW w:w="11482" w:type="dxa"/>
            <w:gridSpan w:val="8"/>
            <w:tcBorders>
              <w:top w:val="single" w:sz="8" w:space="0" w:color="auto"/>
              <w:left w:val="nil"/>
              <w:bottom w:val="single" w:sz="8" w:space="0" w:color="auto"/>
              <w:right w:val="single" w:sz="8" w:space="0" w:color="000000"/>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2019</w:t>
            </w:r>
          </w:p>
        </w:tc>
      </w:tr>
      <w:tr w:rsidR="00166316" w:rsidRPr="00166316" w:rsidTr="00CF4281">
        <w:trPr>
          <w:trHeight w:val="1399"/>
        </w:trPr>
        <w:tc>
          <w:tcPr>
            <w:tcW w:w="3235" w:type="dxa"/>
            <w:vMerge/>
            <w:tcBorders>
              <w:top w:val="single" w:sz="8" w:space="0" w:color="auto"/>
              <w:left w:val="single" w:sz="8" w:space="0" w:color="auto"/>
              <w:bottom w:val="single" w:sz="8" w:space="0" w:color="000000"/>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16"/>
                <w:szCs w:val="16"/>
              </w:rPr>
            </w:pPr>
          </w:p>
        </w:tc>
        <w:tc>
          <w:tcPr>
            <w:tcW w:w="1444"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Sume potrivit execuției bugetare din decembrie 2018 (inclusiv </w:t>
            </w:r>
            <w:r w:rsidRPr="00166316">
              <w:rPr>
                <w:rFonts w:eastAsia="Times New Roman" w:cstheme="minorHAnsi"/>
                <w:b/>
                <w:bCs/>
                <w:i/>
                <w:iCs/>
                <w:color w:val="FFFFFF"/>
                <w:sz w:val="16"/>
                <w:szCs w:val="16"/>
              </w:rPr>
              <w:t>swap</w:t>
            </w:r>
            <w:r w:rsidRPr="00166316">
              <w:rPr>
                <w:rFonts w:eastAsia="Times New Roman" w:cstheme="minorHAnsi"/>
                <w:b/>
                <w:bCs/>
                <w:color w:val="FFFFFF"/>
                <w:sz w:val="16"/>
                <w:szCs w:val="16"/>
              </w:rPr>
              <w:t>) (mil. lei)</w:t>
            </w:r>
          </w:p>
        </w:tc>
        <w:tc>
          <w:tcPr>
            <w:tcW w:w="1134"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Influența schemei de compensare (mil. lei)</w:t>
            </w:r>
          </w:p>
        </w:tc>
        <w:tc>
          <w:tcPr>
            <w:tcW w:w="850"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color w:val="FFFFFF"/>
                <w:sz w:val="16"/>
                <w:szCs w:val="16"/>
              </w:rPr>
              <w:t xml:space="preserve">Sume nete de </w:t>
            </w:r>
            <w:r w:rsidRPr="00166316">
              <w:rPr>
                <w:rFonts w:eastAsia="Times New Roman" w:cstheme="minorHAnsi"/>
                <w:b/>
                <w:bCs/>
                <w:i/>
                <w:iCs/>
                <w:color w:val="FFFFFF"/>
                <w:sz w:val="16"/>
                <w:szCs w:val="16"/>
              </w:rPr>
              <w:t>swap</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993"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Măsuri de politică fiscală</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3153"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Explicații</w:t>
            </w:r>
          </w:p>
        </w:tc>
        <w:tc>
          <w:tcPr>
            <w:tcW w:w="1418"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Baze macroeocomice relevante</w:t>
            </w:r>
          </w:p>
        </w:tc>
        <w:tc>
          <w:tcPr>
            <w:tcW w:w="1417"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Proiecția veniturilor BGC consistentă cu cadrul macroeconomic furnizat de CN</w:t>
            </w:r>
            <w:r w:rsidR="00FE6EA5">
              <w:rPr>
                <w:rFonts w:eastAsia="Times New Roman" w:cstheme="minorHAnsi"/>
                <w:b/>
                <w:bCs/>
                <w:color w:val="FFFFFF"/>
                <w:sz w:val="16"/>
                <w:szCs w:val="16"/>
              </w:rPr>
              <w:t>S</w:t>
            </w:r>
            <w:r w:rsidRPr="00166316">
              <w:rPr>
                <w:rFonts w:eastAsia="Times New Roman" w:cstheme="minorHAnsi"/>
                <w:b/>
                <w:bCs/>
                <w:color w:val="FFFFFF"/>
                <w:sz w:val="16"/>
                <w:szCs w:val="16"/>
              </w:rPr>
              <w:t>P iarna 2019 (mil. lei)</w:t>
            </w:r>
          </w:p>
        </w:tc>
        <w:tc>
          <w:tcPr>
            <w:tcW w:w="1099" w:type="dxa"/>
            <w:tcBorders>
              <w:top w:val="nil"/>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Venituri BGC prevăzute in proiectul de buget 2019 (mil. lei)</w:t>
            </w:r>
          </w:p>
        </w:tc>
        <w:tc>
          <w:tcPr>
            <w:tcW w:w="1418"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Diferențe proiecție venituri consistentă cu cadrul macroeconomic de iarna față de venituri proiect buget  (mil. lei)</w:t>
            </w:r>
          </w:p>
        </w:tc>
      </w:tr>
      <w:tr w:rsidR="00166316" w:rsidRPr="00166316" w:rsidTr="00CF4281">
        <w:trPr>
          <w:trHeight w:val="271"/>
        </w:trPr>
        <w:tc>
          <w:tcPr>
            <w:tcW w:w="3235" w:type="dxa"/>
            <w:vMerge/>
            <w:tcBorders>
              <w:top w:val="single" w:sz="8" w:space="0" w:color="auto"/>
              <w:left w:val="single" w:sz="8" w:space="0" w:color="auto"/>
              <w:bottom w:val="single" w:sz="8" w:space="0" w:color="000000"/>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16"/>
                <w:szCs w:val="16"/>
              </w:rPr>
            </w:pPr>
          </w:p>
        </w:tc>
        <w:tc>
          <w:tcPr>
            <w:tcW w:w="1444"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1</w:t>
            </w:r>
          </w:p>
        </w:tc>
        <w:tc>
          <w:tcPr>
            <w:tcW w:w="1134"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2</w:t>
            </w:r>
          </w:p>
        </w:tc>
        <w:tc>
          <w:tcPr>
            <w:tcW w:w="850"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3 = 1-2</w:t>
            </w:r>
          </w:p>
        </w:tc>
        <w:tc>
          <w:tcPr>
            <w:tcW w:w="993"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4</w:t>
            </w:r>
          </w:p>
        </w:tc>
        <w:tc>
          <w:tcPr>
            <w:tcW w:w="3153"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5</w:t>
            </w:r>
          </w:p>
        </w:tc>
        <w:tc>
          <w:tcPr>
            <w:tcW w:w="1418"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6</w:t>
            </w:r>
          </w:p>
        </w:tc>
        <w:tc>
          <w:tcPr>
            <w:tcW w:w="1417"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7</w:t>
            </w:r>
          </w:p>
        </w:tc>
        <w:tc>
          <w:tcPr>
            <w:tcW w:w="1099"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8</w:t>
            </w:r>
          </w:p>
        </w:tc>
        <w:tc>
          <w:tcPr>
            <w:tcW w:w="1418"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9</w:t>
            </w:r>
          </w:p>
        </w:tc>
      </w:tr>
      <w:tr w:rsidR="00166316" w:rsidRPr="00166316" w:rsidTr="00CF4281">
        <w:trPr>
          <w:trHeight w:val="651"/>
        </w:trPr>
        <w:tc>
          <w:tcPr>
            <w:tcW w:w="3235" w:type="dxa"/>
            <w:tcBorders>
              <w:top w:val="nil"/>
              <w:left w:val="single" w:sz="8" w:space="0" w:color="auto"/>
              <w:bottom w:val="single" w:sz="4" w:space="0" w:color="808080"/>
              <w:right w:val="single" w:sz="8" w:space="0" w:color="auto"/>
            </w:tcBorders>
            <w:shd w:val="clear" w:color="auto" w:fill="auto"/>
            <w:vAlign w:val="center"/>
          </w:tcPr>
          <w:p w:rsidR="00166316" w:rsidRPr="00166316" w:rsidRDefault="00166316" w:rsidP="00CF4281">
            <w:pPr>
              <w:spacing w:after="0" w:line="240" w:lineRule="auto"/>
              <w:rPr>
                <w:rFonts w:eastAsia="Times New Roman" w:cstheme="minorHAnsi"/>
                <w:b/>
                <w:bCs/>
                <w:color w:val="FFFFFF"/>
                <w:sz w:val="16"/>
                <w:szCs w:val="16"/>
              </w:rPr>
            </w:pPr>
            <w:r w:rsidRPr="00166316">
              <w:rPr>
                <w:rFonts w:eastAsia="Times New Roman" w:cstheme="minorHAnsi"/>
                <w:sz w:val="16"/>
                <w:szCs w:val="16"/>
              </w:rPr>
              <w:t>TVA</w:t>
            </w:r>
          </w:p>
        </w:tc>
        <w:tc>
          <w:tcPr>
            <w:tcW w:w="1444" w:type="dxa"/>
            <w:tcBorders>
              <w:top w:val="single" w:sz="8" w:space="0" w:color="auto"/>
              <w:left w:val="nil"/>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sz w:val="16"/>
                <w:szCs w:val="16"/>
              </w:rPr>
              <w:t>59.609,0</w:t>
            </w:r>
          </w:p>
        </w:tc>
        <w:tc>
          <w:tcPr>
            <w:tcW w:w="1134" w:type="dxa"/>
            <w:tcBorders>
              <w:top w:val="single" w:sz="8" w:space="0" w:color="auto"/>
              <w:left w:val="nil"/>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sz w:val="16"/>
                <w:szCs w:val="16"/>
              </w:rPr>
              <w:t>205,5</w:t>
            </w:r>
          </w:p>
        </w:tc>
        <w:tc>
          <w:tcPr>
            <w:tcW w:w="850" w:type="dxa"/>
            <w:tcBorders>
              <w:top w:val="single" w:sz="8" w:space="0" w:color="auto"/>
              <w:left w:val="nil"/>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sz w:val="16"/>
                <w:szCs w:val="16"/>
              </w:rPr>
              <w:t>59.403,5</w:t>
            </w:r>
          </w:p>
        </w:tc>
        <w:tc>
          <w:tcPr>
            <w:tcW w:w="993" w:type="dxa"/>
            <w:tcBorders>
              <w:top w:val="single" w:sz="8" w:space="0" w:color="auto"/>
              <w:left w:val="single" w:sz="4" w:space="0" w:color="808080"/>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sz w:val="16"/>
                <w:szCs w:val="16"/>
              </w:rPr>
              <w:t>-</w:t>
            </w:r>
          </w:p>
        </w:tc>
        <w:tc>
          <w:tcPr>
            <w:tcW w:w="3153" w:type="dxa"/>
            <w:tcBorders>
              <w:top w:val="single" w:sz="8" w:space="0" w:color="auto"/>
              <w:left w:val="nil"/>
              <w:bottom w:val="single" w:sz="4" w:space="0" w:color="808080"/>
              <w:right w:val="single" w:sz="8" w:space="0" w:color="auto"/>
            </w:tcBorders>
            <w:shd w:val="clear" w:color="auto" w:fill="auto"/>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color w:val="000000"/>
                <w:sz w:val="16"/>
                <w:szCs w:val="16"/>
              </w:rPr>
              <w:t>Punctul de pornire al extrapolării este reprezentat de suma din execuția potrivit MFP care a fost extrapolată cu baza macroeconomică relevantă</w:t>
            </w:r>
          </w:p>
        </w:tc>
        <w:tc>
          <w:tcPr>
            <w:tcW w:w="1418" w:type="dxa"/>
            <w:tcBorders>
              <w:top w:val="single" w:sz="8" w:space="0" w:color="auto"/>
              <w:left w:val="nil"/>
              <w:bottom w:val="single" w:sz="4" w:space="0" w:color="808080"/>
              <w:right w:val="nil"/>
            </w:tcBorders>
            <w:shd w:val="clear" w:color="000000" w:fill="FFFFFF"/>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color w:val="000000"/>
                <w:sz w:val="16"/>
                <w:szCs w:val="16"/>
              </w:rPr>
              <w:t>Cheltuiala cu consumul final al populației exclusiv autoconsum si piața țărănească (+7,94%)</w:t>
            </w:r>
          </w:p>
        </w:tc>
        <w:tc>
          <w:tcPr>
            <w:tcW w:w="1417" w:type="dxa"/>
            <w:tcBorders>
              <w:top w:val="single" w:sz="8" w:space="0" w:color="auto"/>
              <w:left w:val="single" w:sz="8" w:space="0" w:color="auto"/>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color w:val="000000"/>
                <w:sz w:val="16"/>
                <w:szCs w:val="16"/>
              </w:rPr>
              <w:t>64.271,1</w:t>
            </w:r>
          </w:p>
        </w:tc>
        <w:tc>
          <w:tcPr>
            <w:tcW w:w="1099" w:type="dxa"/>
            <w:tcBorders>
              <w:top w:val="single" w:sz="8" w:space="0" w:color="auto"/>
              <w:left w:val="nil"/>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color w:val="000000"/>
                <w:sz w:val="16"/>
                <w:szCs w:val="16"/>
              </w:rPr>
              <w:t>69.647,9</w:t>
            </w:r>
          </w:p>
        </w:tc>
        <w:tc>
          <w:tcPr>
            <w:tcW w:w="1418" w:type="dxa"/>
            <w:tcBorders>
              <w:top w:val="single" w:sz="8" w:space="0" w:color="auto"/>
              <w:left w:val="nil"/>
              <w:bottom w:val="single" w:sz="4" w:space="0" w:color="808080"/>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color w:val="000000"/>
                <w:sz w:val="16"/>
                <w:szCs w:val="16"/>
              </w:rPr>
              <w:t>-5.376,8</w:t>
            </w:r>
          </w:p>
        </w:tc>
      </w:tr>
      <w:tr w:rsidR="00166316" w:rsidRPr="00166316" w:rsidTr="00CF4281">
        <w:trPr>
          <w:trHeight w:val="651"/>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Accize</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28.518,1</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7,0</w:t>
            </w: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28.511,2</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615,5</w:t>
            </w: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 mai puțin valoarea accizelor aferente produselor din tutun)*Dinamica bazei macroeconomice, la care se adaugă impactul măsurilor de politică fiscală</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Cheltuiala cu consumul final al populației exclusiv autoconsum si piața țărănească în termeni reali (+6,40%)</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30.886,7</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31.071,0</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FE6EA5">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-184,46</w:t>
            </w:r>
          </w:p>
        </w:tc>
      </w:tr>
      <w:tr w:rsidR="00166316" w:rsidRPr="00166316" w:rsidTr="00CF4281">
        <w:trPr>
          <w:trHeight w:val="932"/>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Alte impozite și taxe pe bunuri și servicii</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3.945,8</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3.945,8</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MFP)*Dinamica bazei macroeconomice,</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Cheltuiala cu consumul final al populației exclusiv autoconsum si piața țărănească (+7,94%)</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4.259,3</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4.534,3</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-275,0</w:t>
            </w:r>
          </w:p>
        </w:tc>
      </w:tr>
      <w:tr w:rsidR="00166316" w:rsidRPr="00166316" w:rsidTr="00CF4281">
        <w:trPr>
          <w:trHeight w:val="699"/>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 xml:space="preserve">Taxa pe utilizarea bunurilor, autorizarea utilizării bunurilor sau pe desfășurarea de activități </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1.703,0</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1.703,0</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2.724,8</w:t>
            </w: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MFP)*Dinamica bazei macroeconomice, la care se adaugă impactul măsurilor de politică fiscală</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PIB real (+5,5%)</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4.521,5</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4.937,6</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-416,1</w:t>
            </w:r>
          </w:p>
        </w:tc>
      </w:tr>
      <w:tr w:rsidR="00166316" w:rsidRPr="00166316" w:rsidTr="00CF4281">
        <w:trPr>
          <w:trHeight w:val="932"/>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b/>
                <w:bCs/>
                <w:sz w:val="16"/>
                <w:szCs w:val="16"/>
              </w:rPr>
              <w:t>Impozitul pe comerțul exterior (taxe vamale)</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1.050,1</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1.050,1</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MFP)*Dinamica bazei macroeconomice,</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Import de bunuri și servicii (+7,8%)</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1.132,0</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1.144,7</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-12,7</w:t>
            </w:r>
          </w:p>
        </w:tc>
      </w:tr>
      <w:tr w:rsidR="00166316" w:rsidRPr="00166316" w:rsidTr="00CF4281">
        <w:trPr>
          <w:trHeight w:val="519"/>
        </w:trPr>
        <w:tc>
          <w:tcPr>
            <w:tcW w:w="3235" w:type="dxa"/>
            <w:tcBorders>
              <w:top w:val="single" w:sz="4" w:space="0" w:color="808080"/>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Alte impozite și taxe fiscale</w:t>
            </w:r>
          </w:p>
        </w:tc>
        <w:tc>
          <w:tcPr>
            <w:tcW w:w="1444"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713,9</w:t>
            </w:r>
          </w:p>
        </w:tc>
        <w:tc>
          <w:tcPr>
            <w:tcW w:w="1134"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67,6</w:t>
            </w:r>
          </w:p>
        </w:tc>
        <w:tc>
          <w:tcPr>
            <w:tcW w:w="850"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646,3</w:t>
            </w:r>
          </w:p>
        </w:tc>
        <w:tc>
          <w:tcPr>
            <w:tcW w:w="993" w:type="dxa"/>
            <w:tcBorders>
              <w:top w:val="single" w:sz="4" w:space="0" w:color="808080"/>
              <w:left w:val="single" w:sz="4" w:space="0" w:color="808080"/>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single" w:sz="4" w:space="0" w:color="808080"/>
              <w:left w:val="nil"/>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MFP)*Dinamica bazei macroeconomice,</w:t>
            </w:r>
          </w:p>
        </w:tc>
        <w:tc>
          <w:tcPr>
            <w:tcW w:w="1418" w:type="dxa"/>
            <w:tcBorders>
              <w:top w:val="single" w:sz="4" w:space="0" w:color="808080"/>
              <w:left w:val="nil"/>
              <w:bottom w:val="single" w:sz="8" w:space="0" w:color="auto"/>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PIB nominal (+7,68%)</w:t>
            </w:r>
          </w:p>
        </w:tc>
        <w:tc>
          <w:tcPr>
            <w:tcW w:w="1417" w:type="dxa"/>
            <w:tcBorders>
              <w:top w:val="single" w:sz="4" w:space="0" w:color="808080"/>
              <w:left w:val="single" w:sz="8" w:space="0" w:color="auto"/>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703,9</w:t>
            </w:r>
          </w:p>
        </w:tc>
        <w:tc>
          <w:tcPr>
            <w:tcW w:w="1099"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768,0</w:t>
            </w:r>
          </w:p>
        </w:tc>
        <w:tc>
          <w:tcPr>
            <w:tcW w:w="1418"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-64,1</w:t>
            </w:r>
          </w:p>
        </w:tc>
      </w:tr>
      <w:tr w:rsidR="00166316" w:rsidRPr="00166316" w:rsidTr="00CF4281">
        <w:trPr>
          <w:trHeight w:val="401"/>
        </w:trPr>
        <w:tc>
          <w:tcPr>
            <w:tcW w:w="3235" w:type="dxa"/>
            <w:vMerge w:val="restart"/>
            <w:tcBorders>
              <w:top w:val="single" w:sz="8" w:space="0" w:color="auto"/>
              <w:left w:val="single" w:sz="8" w:space="0" w:color="auto"/>
              <w:bottom w:val="single" w:sz="8" w:space="0" w:color="000000"/>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4"/>
                <w:szCs w:val="24"/>
              </w:rPr>
            </w:pPr>
            <w:r w:rsidRPr="00166316">
              <w:rPr>
                <w:rFonts w:eastAsia="Times New Roman" w:cstheme="minorHAnsi"/>
                <w:b/>
                <w:bCs/>
                <w:color w:val="FFFFFF"/>
                <w:sz w:val="24"/>
                <w:szCs w:val="24"/>
              </w:rPr>
              <w:lastRenderedPageBreak/>
              <w:t>Anexa nr. 2 – Proiecție de venituri pe baza cadrului macroeconomic de iarnă furnizat de CNSP în ianuarie 2019 (continuare)</w:t>
            </w:r>
          </w:p>
        </w:tc>
        <w:tc>
          <w:tcPr>
            <w:tcW w:w="1444" w:type="dxa"/>
            <w:tcBorders>
              <w:top w:val="single" w:sz="8" w:space="0" w:color="auto"/>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2018</w:t>
            </w:r>
          </w:p>
        </w:tc>
        <w:tc>
          <w:tcPr>
            <w:tcW w:w="11482" w:type="dxa"/>
            <w:gridSpan w:val="8"/>
            <w:tcBorders>
              <w:top w:val="single" w:sz="8" w:space="0" w:color="auto"/>
              <w:left w:val="nil"/>
              <w:bottom w:val="single" w:sz="8" w:space="0" w:color="auto"/>
              <w:right w:val="single" w:sz="8" w:space="0" w:color="000000"/>
            </w:tcBorders>
            <w:shd w:val="clear" w:color="000000" w:fill="0070C0"/>
            <w:noWrap/>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2019</w:t>
            </w:r>
          </w:p>
        </w:tc>
      </w:tr>
      <w:tr w:rsidR="00166316" w:rsidRPr="00166316" w:rsidTr="00CF4281">
        <w:trPr>
          <w:trHeight w:val="1399"/>
        </w:trPr>
        <w:tc>
          <w:tcPr>
            <w:tcW w:w="3235" w:type="dxa"/>
            <w:vMerge/>
            <w:tcBorders>
              <w:top w:val="single" w:sz="8" w:space="0" w:color="auto"/>
              <w:left w:val="single" w:sz="8" w:space="0" w:color="auto"/>
              <w:bottom w:val="single" w:sz="8" w:space="0" w:color="000000"/>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16"/>
                <w:szCs w:val="16"/>
              </w:rPr>
            </w:pPr>
          </w:p>
        </w:tc>
        <w:tc>
          <w:tcPr>
            <w:tcW w:w="1444" w:type="dxa"/>
            <w:tcBorders>
              <w:top w:val="nil"/>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Sume potrivit execuției bugetare din decembrie 2018 (inclusiv </w:t>
            </w:r>
            <w:r w:rsidRPr="00166316">
              <w:rPr>
                <w:rFonts w:eastAsia="Times New Roman" w:cstheme="minorHAnsi"/>
                <w:b/>
                <w:bCs/>
                <w:i/>
                <w:iCs/>
                <w:color w:val="FFFFFF"/>
                <w:sz w:val="16"/>
                <w:szCs w:val="16"/>
              </w:rPr>
              <w:t>swap</w:t>
            </w:r>
            <w:r w:rsidRPr="00166316">
              <w:rPr>
                <w:rFonts w:eastAsia="Times New Roman" w:cstheme="minorHAnsi"/>
                <w:b/>
                <w:bCs/>
                <w:color w:val="FFFFFF"/>
                <w:sz w:val="16"/>
                <w:szCs w:val="16"/>
              </w:rPr>
              <w:t>) (mil. lei)</w:t>
            </w:r>
          </w:p>
        </w:tc>
        <w:tc>
          <w:tcPr>
            <w:tcW w:w="1134"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Influența schemei de compensare (mil. lei)</w:t>
            </w:r>
          </w:p>
        </w:tc>
        <w:tc>
          <w:tcPr>
            <w:tcW w:w="850"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color w:val="FFFFFF"/>
                <w:sz w:val="16"/>
                <w:szCs w:val="16"/>
              </w:rPr>
              <w:t xml:space="preserve">Sume nete de </w:t>
            </w:r>
            <w:r w:rsidRPr="00166316">
              <w:rPr>
                <w:rFonts w:eastAsia="Times New Roman" w:cstheme="minorHAnsi"/>
                <w:b/>
                <w:bCs/>
                <w:i/>
                <w:iCs/>
                <w:color w:val="FFFFFF"/>
                <w:sz w:val="16"/>
                <w:szCs w:val="16"/>
              </w:rPr>
              <w:t>swap</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993"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Măsuri de politică fiscală</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3153"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Explicații</w:t>
            </w:r>
          </w:p>
        </w:tc>
        <w:tc>
          <w:tcPr>
            <w:tcW w:w="1418"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Baze macroeconomice relevante</w:t>
            </w:r>
          </w:p>
        </w:tc>
        <w:tc>
          <w:tcPr>
            <w:tcW w:w="1417"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Proiecția veniturilor BGC consistentă cu cadrul macroeconomic furnizat de CN</w:t>
            </w:r>
            <w:r w:rsidR="00FE6EA5">
              <w:rPr>
                <w:rFonts w:eastAsia="Times New Roman" w:cstheme="minorHAnsi"/>
                <w:b/>
                <w:bCs/>
                <w:color w:val="FFFFFF"/>
                <w:sz w:val="16"/>
                <w:szCs w:val="16"/>
              </w:rPr>
              <w:t>S</w:t>
            </w:r>
            <w:r w:rsidRPr="00166316">
              <w:rPr>
                <w:rFonts w:eastAsia="Times New Roman" w:cstheme="minorHAnsi"/>
                <w:b/>
                <w:bCs/>
                <w:color w:val="FFFFFF"/>
                <w:sz w:val="16"/>
                <w:szCs w:val="16"/>
              </w:rPr>
              <w:t>P iarna 2019 (mil. lei)</w:t>
            </w:r>
          </w:p>
        </w:tc>
        <w:tc>
          <w:tcPr>
            <w:tcW w:w="1099" w:type="dxa"/>
            <w:tcBorders>
              <w:top w:val="nil"/>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Venituri BGC prevăzute in proiectul de buget 2019 (mil. lei)</w:t>
            </w:r>
          </w:p>
        </w:tc>
        <w:tc>
          <w:tcPr>
            <w:tcW w:w="1418" w:type="dxa"/>
            <w:tcBorders>
              <w:top w:val="nil"/>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Diferențe proiecție venituri consistentă cu cadrul macroeconomic de iarna față de venituri proiect buget  (mil. lei)</w:t>
            </w:r>
          </w:p>
        </w:tc>
      </w:tr>
      <w:tr w:rsidR="00166316" w:rsidRPr="00166316" w:rsidTr="00CF4281">
        <w:trPr>
          <w:trHeight w:val="271"/>
        </w:trPr>
        <w:tc>
          <w:tcPr>
            <w:tcW w:w="3235" w:type="dxa"/>
            <w:vMerge/>
            <w:tcBorders>
              <w:top w:val="single" w:sz="8" w:space="0" w:color="auto"/>
              <w:left w:val="single" w:sz="8" w:space="0" w:color="auto"/>
              <w:bottom w:val="single" w:sz="8" w:space="0" w:color="000000"/>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16"/>
                <w:szCs w:val="16"/>
              </w:rPr>
            </w:pPr>
          </w:p>
        </w:tc>
        <w:tc>
          <w:tcPr>
            <w:tcW w:w="1444" w:type="dxa"/>
            <w:tcBorders>
              <w:top w:val="single" w:sz="8" w:space="0" w:color="auto"/>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1</w:t>
            </w:r>
          </w:p>
        </w:tc>
        <w:tc>
          <w:tcPr>
            <w:tcW w:w="1134" w:type="dxa"/>
            <w:tcBorders>
              <w:top w:val="single" w:sz="8" w:space="0" w:color="auto"/>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2</w:t>
            </w:r>
          </w:p>
        </w:tc>
        <w:tc>
          <w:tcPr>
            <w:tcW w:w="850" w:type="dxa"/>
            <w:tcBorders>
              <w:top w:val="single" w:sz="8" w:space="0" w:color="auto"/>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3 = 1-2</w:t>
            </w:r>
          </w:p>
        </w:tc>
        <w:tc>
          <w:tcPr>
            <w:tcW w:w="993" w:type="dxa"/>
            <w:tcBorders>
              <w:top w:val="single" w:sz="8" w:space="0" w:color="auto"/>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4</w:t>
            </w:r>
          </w:p>
        </w:tc>
        <w:tc>
          <w:tcPr>
            <w:tcW w:w="3153" w:type="dxa"/>
            <w:tcBorders>
              <w:top w:val="single" w:sz="8" w:space="0" w:color="auto"/>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5</w:t>
            </w:r>
          </w:p>
        </w:tc>
        <w:tc>
          <w:tcPr>
            <w:tcW w:w="1418" w:type="dxa"/>
            <w:tcBorders>
              <w:top w:val="single" w:sz="8" w:space="0" w:color="auto"/>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6</w:t>
            </w:r>
          </w:p>
        </w:tc>
        <w:tc>
          <w:tcPr>
            <w:tcW w:w="1417" w:type="dxa"/>
            <w:tcBorders>
              <w:top w:val="single" w:sz="8" w:space="0" w:color="auto"/>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7</w:t>
            </w:r>
          </w:p>
        </w:tc>
        <w:tc>
          <w:tcPr>
            <w:tcW w:w="1099" w:type="dxa"/>
            <w:tcBorders>
              <w:top w:val="single" w:sz="8" w:space="0" w:color="auto"/>
              <w:left w:val="nil"/>
              <w:bottom w:val="single" w:sz="8" w:space="0" w:color="auto"/>
              <w:right w:val="nil"/>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8</w:t>
            </w:r>
          </w:p>
        </w:tc>
        <w:tc>
          <w:tcPr>
            <w:tcW w:w="1418" w:type="dxa"/>
            <w:tcBorders>
              <w:top w:val="single" w:sz="8" w:space="0" w:color="auto"/>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i/>
                <w:iCs/>
                <w:color w:val="FFFFFF"/>
                <w:sz w:val="16"/>
                <w:szCs w:val="16"/>
              </w:rPr>
            </w:pPr>
            <w:r w:rsidRPr="00166316">
              <w:rPr>
                <w:rFonts w:eastAsia="Times New Roman" w:cstheme="minorHAnsi"/>
                <w:b/>
                <w:bCs/>
                <w:i/>
                <w:iCs/>
                <w:color w:val="FFFFFF"/>
                <w:sz w:val="16"/>
                <w:szCs w:val="16"/>
              </w:rPr>
              <w:t>9</w:t>
            </w:r>
          </w:p>
        </w:tc>
      </w:tr>
      <w:tr w:rsidR="00166316" w:rsidRPr="00166316" w:rsidTr="00CF4281">
        <w:trPr>
          <w:trHeight w:val="485"/>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 xml:space="preserve">Contribuții de asigurări </w:t>
            </w:r>
          </w:p>
        </w:tc>
        <w:tc>
          <w:tcPr>
            <w:tcW w:w="1444"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98.100,8</w:t>
            </w:r>
          </w:p>
        </w:tc>
        <w:tc>
          <w:tcPr>
            <w:tcW w:w="1134"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490,9</w:t>
            </w:r>
          </w:p>
        </w:tc>
        <w:tc>
          <w:tcPr>
            <w:tcW w:w="850"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97.609,9</w:t>
            </w:r>
          </w:p>
        </w:tc>
        <w:tc>
          <w:tcPr>
            <w:tcW w:w="993" w:type="dxa"/>
            <w:tcBorders>
              <w:top w:val="single" w:sz="8" w:space="0" w:color="auto"/>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sz w:val="16"/>
                <w:szCs w:val="16"/>
              </w:rPr>
              <w:t>- 1.381,6</w:t>
            </w:r>
          </w:p>
        </w:tc>
        <w:tc>
          <w:tcPr>
            <w:tcW w:w="3153" w:type="dxa"/>
            <w:tcBorders>
              <w:top w:val="single" w:sz="8" w:space="0" w:color="auto"/>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 ajustată prin eliminarea lunii ianuarie când se aplica vechiul sistem al contribuțiilor sociale și a contribuțiilor aferente titlurilor executorii plătite în anul 2018)*Dinamica bazelor macroeconomice, la care se adaugă impactul măsurilor de politică fiscală și al contribuțiilor sociale ce vor fi încasate pe seama titlurilor executorii care vor fi plătite în anul 2019.</w:t>
            </w:r>
          </w:p>
        </w:tc>
        <w:tc>
          <w:tcPr>
            <w:tcW w:w="1418" w:type="dxa"/>
            <w:tcBorders>
              <w:top w:val="single" w:sz="8" w:space="0" w:color="auto"/>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Numărul de salariați (+3,4%)                                    Câștigul salarial mediu brut (+14,7%)</w:t>
            </w:r>
          </w:p>
        </w:tc>
        <w:tc>
          <w:tcPr>
            <w:tcW w:w="1417" w:type="dxa"/>
            <w:tcBorders>
              <w:top w:val="single" w:sz="8" w:space="0" w:color="auto"/>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116.544,5</w:t>
            </w:r>
          </w:p>
        </w:tc>
        <w:tc>
          <w:tcPr>
            <w:tcW w:w="1099"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117.246,1</w:t>
            </w:r>
          </w:p>
        </w:tc>
        <w:tc>
          <w:tcPr>
            <w:tcW w:w="1418" w:type="dxa"/>
            <w:tcBorders>
              <w:top w:val="single" w:sz="8" w:space="0" w:color="auto"/>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-701,6</w:t>
            </w:r>
          </w:p>
        </w:tc>
      </w:tr>
      <w:tr w:rsidR="00166316" w:rsidRPr="00166316" w:rsidTr="00CF4281">
        <w:trPr>
          <w:trHeight w:val="346"/>
        </w:trPr>
        <w:tc>
          <w:tcPr>
            <w:tcW w:w="3235"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nefiscale</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27.122,3</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27.122,3</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color w:val="000000"/>
                <w:sz w:val="16"/>
                <w:szCs w:val="16"/>
              </w:rPr>
              <w:t>2.396,8</w:t>
            </w: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28.291,9</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28.291,9</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r w:rsidR="00166316" w:rsidRPr="00166316" w:rsidTr="00CF4281">
        <w:trPr>
          <w:trHeight w:val="384"/>
        </w:trPr>
        <w:tc>
          <w:tcPr>
            <w:tcW w:w="3235"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din capital</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849,4</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849,4</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(Punctul de pornire al extrapolării este reprezentat de suma din execuția potrivit MFP)*Indicele prețurilor de consum</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Rata medie a inflației prognozate (2,8%)</w:t>
            </w: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873,2</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972,9</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-99,7</w:t>
            </w:r>
          </w:p>
        </w:tc>
      </w:tr>
      <w:tr w:rsidR="00166316" w:rsidRPr="00166316" w:rsidTr="00CF4281">
        <w:trPr>
          <w:trHeight w:val="318"/>
        </w:trPr>
        <w:tc>
          <w:tcPr>
            <w:tcW w:w="3235"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Donații</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10,2</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10,2</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4" w:space="0" w:color="808080"/>
              <w:right w:val="nil"/>
            </w:tcBorders>
            <w:shd w:val="clear" w:color="000000" w:fill="FFFFFF"/>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8,8</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8,8</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r w:rsidR="00166316" w:rsidRPr="00166316" w:rsidTr="00CF4281">
        <w:trPr>
          <w:trHeight w:val="386"/>
        </w:trPr>
        <w:tc>
          <w:tcPr>
            <w:tcW w:w="3235"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Sume de la UE în contul plăților efectuate și prefinanțări</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247,0</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247,0</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95,5</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95,5</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r w:rsidR="00166316" w:rsidRPr="00166316" w:rsidTr="00CF4281">
        <w:trPr>
          <w:trHeight w:val="364"/>
        </w:trPr>
        <w:tc>
          <w:tcPr>
            <w:tcW w:w="3235" w:type="dxa"/>
            <w:tcBorders>
              <w:top w:val="nil"/>
              <w:left w:val="single" w:sz="8" w:space="0" w:color="auto"/>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Sume încasate în contul unic, la bugetul de stat / in curs de distribuire</w:t>
            </w:r>
          </w:p>
        </w:tc>
        <w:tc>
          <w:tcPr>
            <w:tcW w:w="144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-578,7</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- 578,7</w:t>
            </w:r>
          </w:p>
        </w:tc>
        <w:tc>
          <w:tcPr>
            <w:tcW w:w="993" w:type="dxa"/>
            <w:tcBorders>
              <w:top w:val="nil"/>
              <w:left w:val="single" w:sz="4" w:space="0" w:color="808080"/>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c>
          <w:tcPr>
            <w:tcW w:w="1099"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r w:rsidR="00166316" w:rsidRPr="00166316" w:rsidTr="00CF4281">
        <w:trPr>
          <w:trHeight w:val="483"/>
        </w:trPr>
        <w:tc>
          <w:tcPr>
            <w:tcW w:w="3235" w:type="dxa"/>
            <w:tcBorders>
              <w:top w:val="nil"/>
              <w:left w:val="single" w:sz="8" w:space="0" w:color="auto"/>
              <w:bottom w:val="nil"/>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Alte sume primite de la UE pentru programele operaționale finanțate in cadrul obiectivului convergenta</w:t>
            </w:r>
          </w:p>
        </w:tc>
        <w:tc>
          <w:tcPr>
            <w:tcW w:w="1444" w:type="dxa"/>
            <w:tcBorders>
              <w:top w:val="nil"/>
              <w:left w:val="nil"/>
              <w:bottom w:val="nil"/>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3.870,2</w:t>
            </w:r>
          </w:p>
        </w:tc>
        <w:tc>
          <w:tcPr>
            <w:tcW w:w="1134"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3.870,2</w:t>
            </w:r>
          </w:p>
        </w:tc>
        <w:tc>
          <w:tcPr>
            <w:tcW w:w="993" w:type="dxa"/>
            <w:tcBorders>
              <w:top w:val="nil"/>
              <w:left w:val="nil"/>
              <w:bottom w:val="nil"/>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4" w:space="0" w:color="808080"/>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4" w:space="0" w:color="808080"/>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nil"/>
              <w:left w:val="single" w:sz="8" w:space="0" w:color="auto"/>
              <w:bottom w:val="nil"/>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108,7</w:t>
            </w:r>
          </w:p>
        </w:tc>
        <w:tc>
          <w:tcPr>
            <w:tcW w:w="1099" w:type="dxa"/>
            <w:tcBorders>
              <w:top w:val="nil"/>
              <w:left w:val="nil"/>
              <w:bottom w:val="nil"/>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108,7</w:t>
            </w:r>
          </w:p>
        </w:tc>
        <w:tc>
          <w:tcPr>
            <w:tcW w:w="1418" w:type="dxa"/>
            <w:tcBorders>
              <w:top w:val="nil"/>
              <w:left w:val="nil"/>
              <w:bottom w:val="single" w:sz="4" w:space="0" w:color="808080"/>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r w:rsidR="00166316" w:rsidRPr="00166316" w:rsidTr="00CF4281">
        <w:trPr>
          <w:trHeight w:val="556"/>
        </w:trPr>
        <w:tc>
          <w:tcPr>
            <w:tcW w:w="3235" w:type="dxa"/>
            <w:tcBorders>
              <w:top w:val="single" w:sz="4" w:space="0" w:color="808080"/>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Sume primite de la UE/alți donatori în contul plăților efectuate și prefinanțări aferente cadrului financiar 2014-2020</w:t>
            </w:r>
          </w:p>
        </w:tc>
        <w:tc>
          <w:tcPr>
            <w:tcW w:w="1444"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22.981,5</w:t>
            </w:r>
          </w:p>
        </w:tc>
        <w:tc>
          <w:tcPr>
            <w:tcW w:w="1134" w:type="dxa"/>
            <w:tcBorders>
              <w:top w:val="nil"/>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22.981,5</w:t>
            </w:r>
          </w:p>
        </w:tc>
        <w:tc>
          <w:tcPr>
            <w:tcW w:w="993" w:type="dxa"/>
            <w:tcBorders>
              <w:top w:val="nil"/>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3153" w:type="dxa"/>
            <w:tcBorders>
              <w:top w:val="nil"/>
              <w:left w:val="nil"/>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Conform MFP</w:t>
            </w:r>
          </w:p>
        </w:tc>
        <w:tc>
          <w:tcPr>
            <w:tcW w:w="1418" w:type="dxa"/>
            <w:tcBorders>
              <w:top w:val="nil"/>
              <w:left w:val="nil"/>
              <w:bottom w:val="single" w:sz="8" w:space="0" w:color="auto"/>
              <w:right w:val="nil"/>
            </w:tcBorders>
            <w:shd w:val="clear" w:color="000000" w:fill="FFFFFF"/>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p>
        </w:tc>
        <w:tc>
          <w:tcPr>
            <w:tcW w:w="1417" w:type="dxa"/>
            <w:tcBorders>
              <w:top w:val="single" w:sz="4" w:space="0" w:color="808080"/>
              <w:left w:val="single" w:sz="8" w:space="0" w:color="auto"/>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32.338,4</w:t>
            </w:r>
          </w:p>
        </w:tc>
        <w:tc>
          <w:tcPr>
            <w:tcW w:w="1099"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32.338,4</w:t>
            </w:r>
          </w:p>
        </w:tc>
        <w:tc>
          <w:tcPr>
            <w:tcW w:w="1418" w:type="dxa"/>
            <w:tcBorders>
              <w:top w:val="single" w:sz="4" w:space="0" w:color="808080"/>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0,0</w:t>
            </w:r>
          </w:p>
        </w:tc>
      </w:tr>
    </w:tbl>
    <w:p w:rsidR="00166316" w:rsidRPr="00166316" w:rsidRDefault="00166316" w:rsidP="00166316">
      <w:pPr>
        <w:jc w:val="center"/>
        <w:rPr>
          <w:i/>
          <w:sz w:val="24"/>
          <w:szCs w:val="24"/>
        </w:rPr>
      </w:pPr>
      <w:r w:rsidRPr="00166316">
        <w:rPr>
          <w:sz w:val="24"/>
          <w:szCs w:val="24"/>
        </w:rPr>
        <w:t xml:space="preserve">Sursa: </w:t>
      </w:r>
      <w:r w:rsidRPr="00166316">
        <w:rPr>
          <w:i/>
          <w:sz w:val="24"/>
          <w:szCs w:val="24"/>
        </w:rPr>
        <w:t>Ministerul Finanțelor Publice, calcule Consiliul fiscal</w:t>
      </w:r>
    </w:p>
    <w:p w:rsidR="00166316" w:rsidRPr="00166316" w:rsidRDefault="00166316" w:rsidP="00166316">
      <w:r w:rsidRPr="00166316">
        <w:br w:type="page"/>
      </w:r>
    </w:p>
    <w:tbl>
      <w:tblPr>
        <w:tblW w:w="16153" w:type="dxa"/>
        <w:tblInd w:w="-1003" w:type="dxa"/>
        <w:tblLook w:val="04A0" w:firstRow="1" w:lastRow="0" w:firstColumn="1" w:lastColumn="0" w:noHBand="0" w:noVBand="1"/>
      </w:tblPr>
      <w:tblGrid>
        <w:gridCol w:w="3181"/>
        <w:gridCol w:w="1445"/>
        <w:gridCol w:w="983"/>
        <w:gridCol w:w="1124"/>
        <w:gridCol w:w="1124"/>
        <w:gridCol w:w="843"/>
        <w:gridCol w:w="983"/>
        <w:gridCol w:w="966"/>
        <w:gridCol w:w="868"/>
        <w:gridCol w:w="983"/>
        <w:gridCol w:w="983"/>
        <w:gridCol w:w="843"/>
        <w:gridCol w:w="842"/>
        <w:gridCol w:w="985"/>
      </w:tblGrid>
      <w:tr w:rsidR="00166316" w:rsidRPr="00166316" w:rsidTr="00CF4281">
        <w:trPr>
          <w:trHeight w:val="1179"/>
        </w:trPr>
        <w:tc>
          <w:tcPr>
            <w:tcW w:w="3181" w:type="dxa"/>
            <w:vMerge w:val="restart"/>
            <w:tcBorders>
              <w:top w:val="single" w:sz="8" w:space="0" w:color="auto"/>
              <w:left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4"/>
                <w:szCs w:val="24"/>
              </w:rPr>
            </w:pPr>
            <w:r w:rsidRPr="00166316">
              <w:rPr>
                <w:rFonts w:eastAsia="Times New Roman" w:cstheme="minorHAnsi"/>
                <w:b/>
                <w:bCs/>
                <w:color w:val="FFFFFF"/>
                <w:sz w:val="24"/>
                <w:szCs w:val="24"/>
              </w:rPr>
              <w:lastRenderedPageBreak/>
              <w:t>Anexa nr. 3 – Evoluția agregatelor bugetare în perioada 2018 – 2019</w:t>
            </w:r>
          </w:p>
        </w:tc>
        <w:tc>
          <w:tcPr>
            <w:tcW w:w="1445" w:type="dxa"/>
            <w:tcBorders>
              <w:top w:val="single" w:sz="8" w:space="0" w:color="auto"/>
              <w:left w:val="nil"/>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Executie 2018</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983" w:type="dxa"/>
            <w:tcBorders>
              <w:top w:val="single" w:sz="8" w:space="0" w:color="auto"/>
              <w:left w:val="nil"/>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Swap execuție 2018</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1124" w:type="dxa"/>
            <w:tcBorders>
              <w:top w:val="single" w:sz="8"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Execuție 2018</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1124" w:type="dxa"/>
            <w:tcBorders>
              <w:top w:val="single" w:sz="8" w:space="0" w:color="auto"/>
              <w:left w:val="nil"/>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 Proiect Buget initial 2019 (mil. lei)</w:t>
            </w:r>
          </w:p>
          <w:p w:rsidR="00166316" w:rsidRPr="00166316" w:rsidRDefault="00166316" w:rsidP="00CF4281">
            <w:pPr>
              <w:spacing w:after="0" w:line="240" w:lineRule="auto"/>
              <w:jc w:val="center"/>
              <w:rPr>
                <w:rFonts w:eastAsia="Times New Roman" w:cstheme="minorHAnsi"/>
                <w:b/>
                <w:bCs/>
                <w:color w:val="FFFFFF"/>
                <w:sz w:val="16"/>
                <w:szCs w:val="16"/>
              </w:rPr>
            </w:pPr>
          </w:p>
        </w:tc>
        <w:tc>
          <w:tcPr>
            <w:tcW w:w="843" w:type="dxa"/>
            <w:tcBorders>
              <w:top w:val="single" w:sz="8" w:space="0" w:color="auto"/>
              <w:left w:val="nil"/>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Swap planificat 2019</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983" w:type="dxa"/>
            <w:tcBorders>
              <w:top w:val="single" w:sz="8"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 (mil. lei)</w:t>
            </w:r>
          </w:p>
        </w:tc>
        <w:tc>
          <w:tcPr>
            <w:tcW w:w="966" w:type="dxa"/>
            <w:tcBorders>
              <w:top w:val="single" w:sz="8" w:space="0" w:color="auto"/>
              <w:left w:val="nil"/>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2019 - Execuție 2018 (mil. lei)</w:t>
            </w:r>
          </w:p>
        </w:tc>
        <w:tc>
          <w:tcPr>
            <w:tcW w:w="868" w:type="dxa"/>
            <w:tcBorders>
              <w:top w:val="single" w:sz="8"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2019 - Execuție 2018</w:t>
            </w:r>
          </w:p>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(mil. lei)</w:t>
            </w:r>
          </w:p>
        </w:tc>
        <w:tc>
          <w:tcPr>
            <w:tcW w:w="983" w:type="dxa"/>
            <w:tcBorders>
              <w:top w:val="single" w:sz="8" w:space="0" w:color="auto"/>
              <w:left w:val="nil"/>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2019 - Execuție 2018 (%)</w:t>
            </w:r>
          </w:p>
        </w:tc>
        <w:tc>
          <w:tcPr>
            <w:tcW w:w="983" w:type="dxa"/>
            <w:tcBorders>
              <w:top w:val="single" w:sz="8"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2019 - Execuție 2018  (%)</w:t>
            </w:r>
          </w:p>
        </w:tc>
        <w:tc>
          <w:tcPr>
            <w:tcW w:w="843" w:type="dxa"/>
            <w:tcBorders>
              <w:top w:val="single" w:sz="8" w:space="0" w:color="auto"/>
              <w:left w:val="single" w:sz="8" w:space="0" w:color="auto"/>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  (% din PIB)</w:t>
            </w:r>
          </w:p>
        </w:tc>
        <w:tc>
          <w:tcPr>
            <w:tcW w:w="842" w:type="dxa"/>
            <w:tcBorders>
              <w:top w:val="single" w:sz="8" w:space="0" w:color="auto"/>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Execuție 2018 (% din PIB)</w:t>
            </w:r>
          </w:p>
        </w:tc>
        <w:tc>
          <w:tcPr>
            <w:tcW w:w="985" w:type="dxa"/>
            <w:tcBorders>
              <w:top w:val="single" w:sz="8" w:space="0" w:color="auto"/>
              <w:left w:val="nil"/>
              <w:bottom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Proiect Buget 2019 - Execuție 2018 (% din PIB)</w:t>
            </w:r>
          </w:p>
        </w:tc>
      </w:tr>
      <w:tr w:rsidR="00166316" w:rsidRPr="00166316" w:rsidTr="00CF4281">
        <w:trPr>
          <w:trHeight w:val="112"/>
        </w:trPr>
        <w:tc>
          <w:tcPr>
            <w:tcW w:w="3181" w:type="dxa"/>
            <w:vMerge/>
            <w:tcBorders>
              <w:left w:val="single" w:sz="8"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1445" w:type="dxa"/>
            <w:tcBorders>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983" w:type="dxa"/>
            <w:tcBorders>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1124" w:type="dxa"/>
            <w:tcBorders>
              <w:top w:val="single" w:sz="4"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fără </w:t>
            </w:r>
            <w:r w:rsidRPr="00166316">
              <w:rPr>
                <w:rFonts w:eastAsia="Times New Roman" w:cstheme="minorHAnsi"/>
                <w:b/>
                <w:bCs/>
                <w:i/>
                <w:color w:val="FFFFFF"/>
                <w:sz w:val="16"/>
                <w:szCs w:val="16"/>
              </w:rPr>
              <w:t>swap</w:t>
            </w:r>
          </w:p>
        </w:tc>
        <w:tc>
          <w:tcPr>
            <w:tcW w:w="1124" w:type="dxa"/>
            <w:tcBorders>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843" w:type="dxa"/>
            <w:tcBorders>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983" w:type="dxa"/>
            <w:tcBorders>
              <w:top w:val="single" w:sz="4"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fără </w:t>
            </w:r>
            <w:r w:rsidRPr="00166316">
              <w:rPr>
                <w:rFonts w:eastAsia="Times New Roman" w:cstheme="minorHAnsi"/>
                <w:b/>
                <w:bCs/>
                <w:i/>
                <w:color w:val="FFFFFF"/>
                <w:sz w:val="16"/>
                <w:szCs w:val="16"/>
              </w:rPr>
              <w:t>swap</w:t>
            </w:r>
          </w:p>
        </w:tc>
        <w:tc>
          <w:tcPr>
            <w:tcW w:w="966" w:type="dxa"/>
            <w:tcBorders>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868" w:type="dxa"/>
            <w:tcBorders>
              <w:top w:val="single" w:sz="4"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fără </w:t>
            </w:r>
            <w:r w:rsidRPr="00166316">
              <w:rPr>
                <w:rFonts w:eastAsia="Times New Roman" w:cstheme="minorHAnsi"/>
                <w:b/>
                <w:bCs/>
                <w:i/>
                <w:color w:val="FFFFFF"/>
                <w:sz w:val="16"/>
                <w:szCs w:val="16"/>
              </w:rPr>
              <w:t>swap</w:t>
            </w:r>
          </w:p>
        </w:tc>
        <w:tc>
          <w:tcPr>
            <w:tcW w:w="983" w:type="dxa"/>
            <w:tcBorders>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983" w:type="dxa"/>
            <w:tcBorders>
              <w:top w:val="single" w:sz="4" w:space="0" w:color="auto"/>
              <w:left w:val="nil"/>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fără </w:t>
            </w:r>
            <w:r w:rsidRPr="00166316">
              <w:rPr>
                <w:rFonts w:eastAsia="Times New Roman" w:cstheme="minorHAnsi"/>
                <w:b/>
                <w:bCs/>
                <w:i/>
                <w:color w:val="FFFFFF"/>
                <w:sz w:val="16"/>
                <w:szCs w:val="16"/>
              </w:rPr>
              <w:t>swap</w:t>
            </w:r>
          </w:p>
        </w:tc>
        <w:tc>
          <w:tcPr>
            <w:tcW w:w="2670" w:type="dxa"/>
            <w:gridSpan w:val="3"/>
            <w:tcBorders>
              <w:top w:val="single" w:sz="8" w:space="0" w:color="auto"/>
              <w:left w:val="single" w:sz="8" w:space="0" w:color="auto"/>
              <w:bottom w:val="single" w:sz="4" w:space="0" w:color="auto"/>
              <w:right w:val="single" w:sz="8" w:space="0" w:color="auto"/>
            </w:tcBorders>
            <w:shd w:val="clear" w:color="000000" w:fill="0070C0"/>
            <w:vAlign w:val="center"/>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 xml:space="preserve">fără </w:t>
            </w:r>
            <w:r w:rsidRPr="00166316">
              <w:rPr>
                <w:rFonts w:eastAsia="Times New Roman" w:cstheme="minorHAnsi"/>
                <w:b/>
                <w:bCs/>
                <w:i/>
                <w:color w:val="FFFFFF"/>
                <w:sz w:val="16"/>
                <w:szCs w:val="16"/>
              </w:rPr>
              <w:t>swap</w:t>
            </w:r>
          </w:p>
        </w:tc>
      </w:tr>
      <w:tr w:rsidR="00166316" w:rsidRPr="00166316" w:rsidTr="00CF4281">
        <w:trPr>
          <w:trHeight w:val="300"/>
        </w:trPr>
        <w:tc>
          <w:tcPr>
            <w:tcW w:w="3181" w:type="dxa"/>
            <w:vMerge/>
            <w:tcBorders>
              <w:left w:val="single" w:sz="8" w:space="0" w:color="auto"/>
              <w:bottom w:val="single" w:sz="8" w:space="0" w:color="auto"/>
              <w:right w:val="single" w:sz="8" w:space="0" w:color="auto"/>
            </w:tcBorders>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p>
        </w:tc>
        <w:tc>
          <w:tcPr>
            <w:tcW w:w="1445"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1</w:t>
            </w:r>
          </w:p>
        </w:tc>
        <w:tc>
          <w:tcPr>
            <w:tcW w:w="983"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2</w:t>
            </w:r>
          </w:p>
        </w:tc>
        <w:tc>
          <w:tcPr>
            <w:tcW w:w="1124" w:type="dxa"/>
            <w:tcBorders>
              <w:top w:val="single" w:sz="4" w:space="0" w:color="auto"/>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3 = 1-2</w:t>
            </w:r>
          </w:p>
        </w:tc>
        <w:tc>
          <w:tcPr>
            <w:tcW w:w="1124"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4</w:t>
            </w:r>
          </w:p>
        </w:tc>
        <w:tc>
          <w:tcPr>
            <w:tcW w:w="843"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5</w:t>
            </w:r>
          </w:p>
        </w:tc>
        <w:tc>
          <w:tcPr>
            <w:tcW w:w="983" w:type="dxa"/>
            <w:tcBorders>
              <w:top w:val="single" w:sz="4" w:space="0" w:color="auto"/>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6 = 4-5</w:t>
            </w:r>
          </w:p>
        </w:tc>
        <w:tc>
          <w:tcPr>
            <w:tcW w:w="966"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7 = 4 - 1</w:t>
            </w:r>
          </w:p>
        </w:tc>
        <w:tc>
          <w:tcPr>
            <w:tcW w:w="868" w:type="dxa"/>
            <w:tcBorders>
              <w:top w:val="single" w:sz="4" w:space="0" w:color="auto"/>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8 = 6-3</w:t>
            </w:r>
          </w:p>
        </w:tc>
        <w:tc>
          <w:tcPr>
            <w:tcW w:w="983"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9 = 7/1</w:t>
            </w:r>
          </w:p>
        </w:tc>
        <w:tc>
          <w:tcPr>
            <w:tcW w:w="983" w:type="dxa"/>
            <w:tcBorders>
              <w:top w:val="single" w:sz="4" w:space="0" w:color="auto"/>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10 = 8/3</w:t>
            </w:r>
          </w:p>
        </w:tc>
        <w:tc>
          <w:tcPr>
            <w:tcW w:w="843"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11</w:t>
            </w:r>
          </w:p>
        </w:tc>
        <w:tc>
          <w:tcPr>
            <w:tcW w:w="842" w:type="dxa"/>
            <w:tcBorders>
              <w:top w:val="single" w:sz="4" w:space="0" w:color="auto"/>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12</w:t>
            </w:r>
          </w:p>
        </w:tc>
        <w:tc>
          <w:tcPr>
            <w:tcW w:w="985" w:type="dxa"/>
            <w:tcBorders>
              <w:top w:val="single" w:sz="4" w:space="0" w:color="auto"/>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16"/>
                <w:szCs w:val="16"/>
              </w:rPr>
            </w:pPr>
            <w:r w:rsidRPr="00166316">
              <w:rPr>
                <w:rFonts w:eastAsia="Times New Roman" w:cstheme="minorHAnsi"/>
                <w:b/>
                <w:bCs/>
                <w:color w:val="FFFFFF"/>
                <w:sz w:val="16"/>
                <w:szCs w:val="16"/>
              </w:rPr>
              <w:t>13 = 11-12</w:t>
            </w:r>
          </w:p>
        </w:tc>
      </w:tr>
      <w:tr w:rsidR="00166316" w:rsidRPr="00166316" w:rsidTr="00CF4281">
        <w:trPr>
          <w:trHeight w:val="383"/>
        </w:trPr>
        <w:tc>
          <w:tcPr>
            <w:tcW w:w="3181" w:type="dxa"/>
            <w:tcBorders>
              <w:top w:val="nil"/>
              <w:left w:val="single" w:sz="8" w:space="0" w:color="auto"/>
              <w:bottom w:val="single" w:sz="8" w:space="0" w:color="auto"/>
              <w:right w:val="single" w:sz="8" w:space="0" w:color="auto"/>
            </w:tcBorders>
            <w:shd w:val="clear" w:color="000000" w:fill="8DB4E2"/>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TOTALE</w:t>
            </w:r>
          </w:p>
        </w:tc>
        <w:tc>
          <w:tcPr>
            <w:tcW w:w="1445"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295.118,24</w:t>
            </w:r>
          </w:p>
        </w:tc>
        <w:tc>
          <w:tcPr>
            <w:tcW w:w="983"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889,25</w:t>
            </w:r>
          </w:p>
        </w:tc>
        <w:tc>
          <w:tcPr>
            <w:tcW w:w="1124"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294.228,99</w:t>
            </w:r>
          </w:p>
        </w:tc>
        <w:tc>
          <w:tcPr>
            <w:tcW w:w="1124"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341.509,96</w:t>
            </w:r>
          </w:p>
        </w:tc>
        <w:tc>
          <w:tcPr>
            <w:tcW w:w="843"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850,00</w:t>
            </w:r>
          </w:p>
        </w:tc>
        <w:tc>
          <w:tcPr>
            <w:tcW w:w="983"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340.659,96</w:t>
            </w:r>
          </w:p>
        </w:tc>
        <w:tc>
          <w:tcPr>
            <w:tcW w:w="966"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46.391,73</w:t>
            </w:r>
          </w:p>
        </w:tc>
        <w:tc>
          <w:tcPr>
            <w:tcW w:w="868"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46.430,97</w:t>
            </w:r>
          </w:p>
        </w:tc>
        <w:tc>
          <w:tcPr>
            <w:tcW w:w="983"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15,72%</w:t>
            </w:r>
          </w:p>
        </w:tc>
        <w:tc>
          <w:tcPr>
            <w:tcW w:w="983"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15,78%</w:t>
            </w:r>
          </w:p>
        </w:tc>
        <w:tc>
          <w:tcPr>
            <w:tcW w:w="843"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33,32%</w:t>
            </w:r>
          </w:p>
        </w:tc>
        <w:tc>
          <w:tcPr>
            <w:tcW w:w="842"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30,98%</w:t>
            </w:r>
          </w:p>
        </w:tc>
        <w:tc>
          <w:tcPr>
            <w:tcW w:w="985" w:type="dxa"/>
            <w:tcBorders>
              <w:top w:val="nil"/>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2,33</w:t>
            </w:r>
          </w:p>
        </w:tc>
      </w:tr>
      <w:tr w:rsidR="00166316" w:rsidRPr="00166316" w:rsidTr="00CF4281">
        <w:trPr>
          <w:trHeight w:val="280"/>
        </w:trPr>
        <w:tc>
          <w:tcPr>
            <w:tcW w:w="3181"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curente</w:t>
            </w:r>
          </w:p>
        </w:tc>
        <w:tc>
          <w:tcPr>
            <w:tcW w:w="1445"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267.738,61</w:t>
            </w:r>
          </w:p>
        </w:tc>
        <w:tc>
          <w:tcPr>
            <w:tcW w:w="98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889,25</w:t>
            </w:r>
          </w:p>
        </w:tc>
        <w:tc>
          <w:tcPr>
            <w:tcW w:w="1124"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266.849,36</w:t>
            </w:r>
          </w:p>
        </w:tc>
        <w:tc>
          <w:tcPr>
            <w:tcW w:w="112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307.985,77</w:t>
            </w:r>
          </w:p>
        </w:tc>
        <w:tc>
          <w:tcPr>
            <w:tcW w:w="84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850,00</w:t>
            </w:r>
          </w:p>
        </w:tc>
        <w:tc>
          <w:tcPr>
            <w:tcW w:w="98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307.135,77</w:t>
            </w:r>
          </w:p>
        </w:tc>
        <w:tc>
          <w:tcPr>
            <w:tcW w:w="966" w:type="dxa"/>
            <w:tcBorders>
              <w:top w:val="single" w:sz="8" w:space="0" w:color="auto"/>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40.247,16</w:t>
            </w:r>
          </w:p>
        </w:tc>
        <w:tc>
          <w:tcPr>
            <w:tcW w:w="868"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40.286,41</w:t>
            </w:r>
          </w:p>
        </w:tc>
        <w:tc>
          <w:tcPr>
            <w:tcW w:w="98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15,03%</w:t>
            </w:r>
          </w:p>
        </w:tc>
        <w:tc>
          <w:tcPr>
            <w:tcW w:w="983"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15,10%</w:t>
            </w:r>
          </w:p>
        </w:tc>
        <w:tc>
          <w:tcPr>
            <w:tcW w:w="84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30,04%</w:t>
            </w:r>
          </w:p>
        </w:tc>
        <w:tc>
          <w:tcPr>
            <w:tcW w:w="842"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28,10%</w:t>
            </w:r>
          </w:p>
        </w:tc>
        <w:tc>
          <w:tcPr>
            <w:tcW w:w="985"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1,94</w:t>
            </w:r>
          </w:p>
        </w:tc>
      </w:tr>
      <w:tr w:rsidR="00166316" w:rsidRPr="00166316" w:rsidTr="00CF4281">
        <w:trPr>
          <w:trHeight w:val="277"/>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fiscale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142.515,57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398,32</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142.117,25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162.447,82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436,00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162.011,82</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19.932,25</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19.894,57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13,99%</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14,00%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15,84%</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14,97%</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0,88</w:t>
            </w:r>
          </w:p>
        </w:tc>
      </w:tr>
      <w:tr w:rsidR="00166316" w:rsidRPr="00166316" w:rsidTr="00CF4281">
        <w:trPr>
          <w:trHeight w:val="351"/>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Impozitul pe profit, salarii, venit și câștiguri din capital</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41.506,14</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118,20</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41.387,94</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44.257,24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43.977,24</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2.751,10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2.589,30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6,63%</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6,26%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4,36%</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-0,06</w:t>
            </w:r>
          </w:p>
        </w:tc>
      </w:tr>
      <w:tr w:rsidR="00166316" w:rsidRPr="00166316" w:rsidTr="00CF4281">
        <w:trPr>
          <w:trHeight w:val="264"/>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Impozitul pe profit</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15.652,51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30,54</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15.621,97</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17.192,89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17.062,89</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1.540,38</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1.440,93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9,84%</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9,22%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1,67%</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1,65%</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0,02</w:t>
            </w:r>
          </w:p>
        </w:tc>
      </w:tr>
      <w:tr w:rsidR="00166316" w:rsidRPr="00166316" w:rsidTr="00CF4281">
        <w:trPr>
          <w:trHeight w:val="26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Impozitul pe salarii și venit</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22.678,98</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87,66</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22.591,32</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23.662,99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23.512,99</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984,01</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921,67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4,34%</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4,08%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2,38%</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-0,08</w:t>
            </w:r>
          </w:p>
        </w:tc>
      </w:tr>
      <w:tr w:rsidR="00166316" w:rsidRPr="00166316" w:rsidTr="00CF4281">
        <w:trPr>
          <w:trHeight w:val="256"/>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Alte impozite pe venit, profit și câștiguri din capital</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3.174,65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3.174,65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3.401,36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3.401,36</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226,70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226,70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7,14%</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7,14%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0,33%</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0,33%</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r>
      <w:tr w:rsidR="00166316" w:rsidRPr="00166316" w:rsidTr="00CF4281">
        <w:trPr>
          <w:trHeight w:val="264"/>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Impozite și taxe pe proprietate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5.469,43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5.469,43</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6.087,10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6.087,10</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617,67</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617,67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11,29%</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11,29%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0,60%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0,58%</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0,02</w:t>
            </w:r>
          </w:p>
        </w:tc>
      </w:tr>
      <w:tr w:rsidR="00166316" w:rsidRPr="00166316" w:rsidTr="00CF4281">
        <w:trPr>
          <w:trHeight w:val="26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Impozite și taxe pe bunuri și servicii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93.775,98</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212,47</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93.563,51</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110.190,80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148,00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110.042,80</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16.414,82</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16.479,29</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17,50%</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17,61%</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10,76%</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9,85%</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0,91</w:t>
            </w:r>
          </w:p>
        </w:tc>
      </w:tr>
      <w:tr w:rsidR="00166316" w:rsidRPr="00166316" w:rsidTr="00CF4281">
        <w:trPr>
          <w:trHeight w:val="25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TVA</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59.609,02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205,51</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59.403,51</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69.647,92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148,00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69.499,92</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10.038,90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10.096,41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16,84%</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6,80%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6,26%</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0,54</w:t>
            </w:r>
          </w:p>
        </w:tc>
      </w:tr>
      <w:tr w:rsidR="00166316" w:rsidRPr="00166316" w:rsidTr="00CF4281">
        <w:trPr>
          <w:trHeight w:val="26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Accize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28.518,13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6,96</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28.511,17</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31.071,03</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31.071,03</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2.552,90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2.559,86</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8,95%</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8,98%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3,04%</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3,00%</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0,04</w:t>
            </w:r>
          </w:p>
        </w:tc>
      </w:tr>
      <w:tr w:rsidR="00166316" w:rsidRPr="00166316" w:rsidTr="00CF4281">
        <w:trPr>
          <w:trHeight w:val="27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Alte impozite și taxe pe bunuri și servicii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3.945,82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3.945,82</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4.534,28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4.534,28</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588,45</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588,45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14,91%</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14,91%</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0,44%</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0,42%</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0,03</w:t>
            </w:r>
          </w:p>
        </w:tc>
      </w:tr>
      <w:tr w:rsidR="00166316" w:rsidRPr="00166316" w:rsidTr="00CF4281">
        <w:trPr>
          <w:trHeight w:val="389"/>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Taxa pe utilizarea bunurilor, autorizarea utilizării bunurilor sau pe desfășurarea de activități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1.703,01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1.703,01</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4.937,58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4.937,58</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3.234,57</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3.234,57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189,93%</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189,93%</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0,48%</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0,18%</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0,30</w:t>
            </w:r>
          </w:p>
        </w:tc>
      </w:tr>
      <w:tr w:rsidR="00166316" w:rsidRPr="00166316" w:rsidTr="00CF4281">
        <w:trPr>
          <w:trHeight w:val="29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Impozitul pe comerțul exterior (taxe vamale)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1.050,11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1.050,11</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1.144,70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1.144,70</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94,59</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94,59</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9,01%</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9,01%</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0,11%</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0,11%</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r>
      <w:tr w:rsidR="00166316" w:rsidRPr="00166316" w:rsidTr="00CF4281">
        <w:trPr>
          <w:trHeight w:val="387"/>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Alte impozite și taxe fiscale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713,91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67,65</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646,27</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767,98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759,98</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54,07</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113,71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7,57%</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17,60%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0,07%</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0,07%</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0,01</w:t>
            </w:r>
          </w:p>
        </w:tc>
      </w:tr>
      <w:tr w:rsidR="00166316" w:rsidRPr="00166316" w:rsidTr="00CF4281">
        <w:trPr>
          <w:trHeight w:val="274"/>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Contribuții de asigurări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98.100,78</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490,93</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97.609,85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117.246,08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414,00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116.832,08</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19.145,30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19.222,23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19,52%</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19,69%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11,43%</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10,28%</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1,15</w:t>
            </w:r>
          </w:p>
        </w:tc>
      </w:tr>
      <w:tr w:rsidR="00166316" w:rsidRPr="00166316" w:rsidTr="00CF4281">
        <w:trPr>
          <w:trHeight w:val="27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nefiscale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27.122,26</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27.122,26</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28.291,87</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28.291,87</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1.169,61</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1.169,61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4,31%</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4,31%</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2,77%</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2,86%</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-0,09</w:t>
            </w:r>
          </w:p>
        </w:tc>
      </w:tr>
      <w:tr w:rsidR="00166316" w:rsidRPr="00166316" w:rsidTr="00CF4281">
        <w:trPr>
          <w:trHeight w:val="26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Venituri din capital</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849,40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849,40</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972,86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972,86</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123,46</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123,46</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14,53%</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14,53%</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0,09%</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0,01</w:t>
            </w:r>
          </w:p>
        </w:tc>
      </w:tr>
      <w:tr w:rsidR="00166316" w:rsidRPr="00166316" w:rsidTr="00CF4281">
        <w:trPr>
          <w:trHeight w:val="273"/>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Donații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10,18</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10,18</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8,76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8,76</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-1,41</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-13,90%</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-13,90%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r>
      <w:tr w:rsidR="00166316" w:rsidRPr="00166316" w:rsidTr="00CF4281">
        <w:trPr>
          <w:trHeight w:val="537"/>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lastRenderedPageBreak/>
              <w:t>Sume de la UE în contul plăților efectuate și prefinanțări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247,01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247,01</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95,46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95,46</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-151,54</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-151,54</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-61,35%</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-61,35%</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0,01%</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0,03%</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-0,02</w:t>
            </w:r>
          </w:p>
        </w:tc>
      </w:tr>
      <w:tr w:rsidR="00166316" w:rsidRPr="00166316" w:rsidTr="00CF4281">
        <w:trPr>
          <w:trHeight w:val="51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Sume încasate în contul unic, la bugetul de stat / in curs de distribuire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-578,72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-578,72</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578,72</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578,72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-0,06%</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0,06</w:t>
            </w:r>
          </w:p>
        </w:tc>
      </w:tr>
      <w:tr w:rsidR="00166316" w:rsidRPr="00166316" w:rsidTr="00CF4281">
        <w:trPr>
          <w:trHeight w:val="525"/>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Alte sume primite de la UE pentru programele operaționale finanțate in cadrul obiectivului convergenta</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3.870,25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3.870,25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108,72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108,72</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-3.761,52</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-3.761,52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-97,19%</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-97,19%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0,01%</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0,41%</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-0,40</w:t>
            </w:r>
          </w:p>
        </w:tc>
      </w:tr>
      <w:tr w:rsidR="00166316" w:rsidRPr="00166316" w:rsidTr="00CF4281">
        <w:trPr>
          <w:trHeight w:val="651"/>
        </w:trPr>
        <w:tc>
          <w:tcPr>
            <w:tcW w:w="3181" w:type="dxa"/>
            <w:tcBorders>
              <w:top w:val="single" w:sz="6" w:space="0" w:color="DBE5F1" w:themeColor="accent1" w:themeTint="33"/>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Sume primite de la UE/alți donatori in contul plaților efectuate si prefinanțări aferente cadrului financiar 2014-2020</w:t>
            </w:r>
          </w:p>
        </w:tc>
        <w:tc>
          <w:tcPr>
            <w:tcW w:w="1445"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22.981,52</w:t>
            </w:r>
          </w:p>
        </w:tc>
        <w:tc>
          <w:tcPr>
            <w:tcW w:w="98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22.981,52</w:t>
            </w:r>
          </w:p>
        </w:tc>
        <w:tc>
          <w:tcPr>
            <w:tcW w:w="1124"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32.338,39</w:t>
            </w:r>
          </w:p>
        </w:tc>
        <w:tc>
          <w:tcPr>
            <w:tcW w:w="84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32.338,39</w:t>
            </w:r>
          </w:p>
        </w:tc>
        <w:tc>
          <w:tcPr>
            <w:tcW w:w="966" w:type="dxa"/>
            <w:tcBorders>
              <w:top w:val="single" w:sz="6" w:space="0" w:color="DBE5F1" w:themeColor="accent1" w:themeTint="33"/>
              <w:left w:val="single" w:sz="8" w:space="0" w:color="auto"/>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9.356,87</w:t>
            </w:r>
          </w:p>
        </w:tc>
        <w:tc>
          <w:tcPr>
            <w:tcW w:w="868"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9.356,87</w:t>
            </w:r>
          </w:p>
        </w:tc>
        <w:tc>
          <w:tcPr>
            <w:tcW w:w="98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40,71%</w:t>
            </w:r>
          </w:p>
        </w:tc>
        <w:tc>
          <w:tcPr>
            <w:tcW w:w="983"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40,71%</w:t>
            </w:r>
          </w:p>
        </w:tc>
        <w:tc>
          <w:tcPr>
            <w:tcW w:w="84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3,16%</w:t>
            </w:r>
          </w:p>
        </w:tc>
        <w:tc>
          <w:tcPr>
            <w:tcW w:w="842"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2,42%</w:t>
            </w:r>
          </w:p>
        </w:tc>
        <w:tc>
          <w:tcPr>
            <w:tcW w:w="985"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0,74</w:t>
            </w:r>
          </w:p>
        </w:tc>
      </w:tr>
      <w:tr w:rsidR="00166316" w:rsidRPr="00166316" w:rsidTr="00CF4281">
        <w:trPr>
          <w:trHeight w:val="188"/>
        </w:trPr>
        <w:tc>
          <w:tcPr>
            <w:tcW w:w="3181"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CHELTUIELI TOTALE</w:t>
            </w:r>
          </w:p>
        </w:tc>
        <w:tc>
          <w:tcPr>
            <w:tcW w:w="1445"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322.454,49</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889,25</w:t>
            </w:r>
          </w:p>
        </w:tc>
        <w:tc>
          <w:tcPr>
            <w:tcW w:w="1124"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321.565,25</w:t>
            </w:r>
          </w:p>
        </w:tc>
        <w:tc>
          <w:tcPr>
            <w:tcW w:w="1124"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367.628,13</w:t>
            </w:r>
          </w:p>
        </w:tc>
        <w:tc>
          <w:tcPr>
            <w:tcW w:w="84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850,00</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366.778,13</w:t>
            </w:r>
          </w:p>
        </w:tc>
        <w:tc>
          <w:tcPr>
            <w:tcW w:w="966"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45.173,64</w:t>
            </w:r>
          </w:p>
        </w:tc>
        <w:tc>
          <w:tcPr>
            <w:tcW w:w="868"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45.212,88</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14,01%</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14,06%</w:t>
            </w:r>
          </w:p>
        </w:tc>
        <w:tc>
          <w:tcPr>
            <w:tcW w:w="84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35,87%</w:t>
            </w:r>
          </w:p>
        </w:tc>
        <w:tc>
          <w:tcPr>
            <w:tcW w:w="842"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33,86%</w:t>
            </w:r>
          </w:p>
        </w:tc>
        <w:tc>
          <w:tcPr>
            <w:tcW w:w="985"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2,01</w:t>
            </w:r>
          </w:p>
        </w:tc>
      </w:tr>
      <w:tr w:rsidR="00166316" w:rsidRPr="00166316" w:rsidTr="00CF4281">
        <w:trPr>
          <w:trHeight w:val="238"/>
        </w:trPr>
        <w:tc>
          <w:tcPr>
            <w:tcW w:w="3181"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Cheltuieli curente</w:t>
            </w:r>
          </w:p>
        </w:tc>
        <w:tc>
          <w:tcPr>
            <w:tcW w:w="1445"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300.392,14</w:t>
            </w:r>
          </w:p>
        </w:tc>
        <w:tc>
          <w:tcPr>
            <w:tcW w:w="98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300.392,14</w:t>
            </w:r>
          </w:p>
        </w:tc>
        <w:tc>
          <w:tcPr>
            <w:tcW w:w="112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345.256,89</w:t>
            </w:r>
          </w:p>
        </w:tc>
        <w:tc>
          <w:tcPr>
            <w:tcW w:w="84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850,00</w:t>
            </w:r>
          </w:p>
        </w:tc>
        <w:tc>
          <w:tcPr>
            <w:tcW w:w="98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344.406,89</w:t>
            </w:r>
          </w:p>
        </w:tc>
        <w:tc>
          <w:tcPr>
            <w:tcW w:w="966" w:type="dxa"/>
            <w:tcBorders>
              <w:top w:val="single" w:sz="8" w:space="0" w:color="auto"/>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44.864,75</w:t>
            </w:r>
          </w:p>
        </w:tc>
        <w:tc>
          <w:tcPr>
            <w:tcW w:w="868"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44.014,75</w:t>
            </w:r>
          </w:p>
        </w:tc>
        <w:tc>
          <w:tcPr>
            <w:tcW w:w="98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14,94%</w:t>
            </w:r>
          </w:p>
        </w:tc>
        <w:tc>
          <w:tcPr>
            <w:tcW w:w="983"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14,65%</w:t>
            </w:r>
          </w:p>
        </w:tc>
        <w:tc>
          <w:tcPr>
            <w:tcW w:w="843"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33,68%</w:t>
            </w:r>
          </w:p>
        </w:tc>
        <w:tc>
          <w:tcPr>
            <w:tcW w:w="842"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31,63%</w:t>
            </w:r>
          </w:p>
        </w:tc>
        <w:tc>
          <w:tcPr>
            <w:tcW w:w="985"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2,05</w:t>
            </w:r>
          </w:p>
        </w:tc>
      </w:tr>
      <w:tr w:rsidR="00166316" w:rsidRPr="00166316" w:rsidTr="00CF4281">
        <w:trPr>
          <w:trHeight w:val="264"/>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Cheltuieli de personal</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86.141,93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86.141,93</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102.465,25</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102.465,25</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16.323,32</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16.323,32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18,95%</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18,95%</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10,02%</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9,07%</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0,95</w:t>
            </w:r>
          </w:p>
        </w:tc>
      </w:tr>
      <w:tr w:rsidR="00166316" w:rsidRPr="00166316" w:rsidTr="00CF4281">
        <w:trPr>
          <w:trHeight w:val="267"/>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Bunuri și servicii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44.674,45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44.674,45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46.621,84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46.621,84</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1.947,40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1.947,40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4,36%</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4,36%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4,56%</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4,70%</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-0,14</w:t>
            </w:r>
          </w:p>
        </w:tc>
      </w:tr>
      <w:tr w:rsidR="00166316" w:rsidRPr="00166316" w:rsidTr="00CF4281">
        <w:trPr>
          <w:trHeight w:val="25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Dobânzi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12.941,15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12.941,15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13.510,12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13.510,12</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568,97</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568,97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4,40%</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4,40%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1,32%</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1,36%</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-0,04</w:t>
            </w:r>
          </w:p>
        </w:tc>
      </w:tr>
      <w:tr w:rsidR="00166316" w:rsidRPr="00166316" w:rsidTr="00CF4281">
        <w:trPr>
          <w:trHeight w:val="26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Subvenții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6.669,50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6.669,50</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7.948,28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7.948,28</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1.278,78</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1.278,78</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19,17%</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19,17%</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0,78%</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0,70%</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0,07</w:t>
            </w:r>
          </w:p>
        </w:tc>
      </w:tr>
      <w:tr w:rsidR="00166316" w:rsidRPr="00166316" w:rsidTr="00CF4281">
        <w:trPr>
          <w:trHeight w:val="266"/>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Transferuri - Total</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149.577,27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649,05</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148.928,23</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173.904,65</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850,00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173.054,65</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24.327,37</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24.126,42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16,26%</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16,20%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16,92%</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15,68%</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1,24</w:t>
            </w:r>
          </w:p>
        </w:tc>
      </w:tr>
      <w:tr w:rsidR="00166316" w:rsidRPr="00166316" w:rsidTr="00CF4281">
        <w:trPr>
          <w:trHeight w:val="40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Transferuri între unități ale administrației publice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1.537,57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649,05</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888,53</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2.526,46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850,00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1.676,46</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988,89</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787,93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64,31%</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88,68%</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0,16%</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0,09%</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0,07</w:t>
            </w:r>
          </w:p>
        </w:tc>
      </w:tr>
      <w:tr w:rsidR="00166316" w:rsidRPr="00166316" w:rsidTr="00CF4281">
        <w:trPr>
          <w:trHeight w:val="381"/>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Alte transferuri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14.117,34</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14.117,34</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17.370,26</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17370,264</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3.252,93</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3.252,93</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23,04%</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23,04%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1,70%</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color w:val="000000"/>
                <w:sz w:val="16"/>
                <w:szCs w:val="16"/>
              </w:rPr>
            </w:pPr>
            <w:r w:rsidRPr="00166316">
              <w:rPr>
                <w:rFonts w:eastAsia="Times New Roman" w:cstheme="minorHAnsi"/>
                <w:color w:val="000000"/>
                <w:sz w:val="16"/>
                <w:szCs w:val="16"/>
              </w:rPr>
              <w:t>1,49%</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0,21</w:t>
            </w:r>
          </w:p>
        </w:tc>
      </w:tr>
      <w:tr w:rsidR="00166316" w:rsidRPr="00166316" w:rsidTr="00CF4281">
        <w:trPr>
          <w:trHeight w:val="53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Proiecte cu finanțare din fonduri externe nerambursabile</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577,15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577,15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359,44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359,44</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-217,71</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-217,71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-37,72%</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-37,72%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0,04%</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0,06%</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-0,03</w:t>
            </w:r>
          </w:p>
        </w:tc>
      </w:tr>
      <w:tr w:rsidR="00166316" w:rsidRPr="00166316" w:rsidTr="00CF4281">
        <w:trPr>
          <w:trHeight w:val="262"/>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Asistență socială</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101.364,05</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101.364,05</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109.764,44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109.764,44</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8.400,38</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8.400,38</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8,29%</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8,29%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10,73%</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10,67%</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0,06</w:t>
            </w:r>
          </w:p>
        </w:tc>
      </w:tr>
      <w:tr w:rsidR="00166316" w:rsidRPr="00166316" w:rsidTr="00CF4281">
        <w:trPr>
          <w:trHeight w:val="411"/>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Proiecte cu finanțare din fonduri externe nerambursabile postaderare 2014-2020</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24.948,70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24.948,70</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38.058,72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38.058,72</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13.110,02</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13.110,02</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52,55%</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52,55%</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3,72%</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2,63%</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1,09</w:t>
            </w:r>
          </w:p>
        </w:tc>
      </w:tr>
      <w:tr w:rsidR="00166316" w:rsidRPr="00166316" w:rsidTr="00CF4281">
        <w:trPr>
          <w:trHeight w:val="245"/>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6"/>
                <w:szCs w:val="16"/>
              </w:rPr>
            </w:pPr>
            <w:r w:rsidRPr="00166316">
              <w:rPr>
                <w:rFonts w:eastAsia="Times New Roman" w:cstheme="minorHAnsi"/>
                <w:sz w:val="16"/>
                <w:szCs w:val="16"/>
              </w:rPr>
              <w:t>Alte cheltuieli</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7.032,47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7.032,47</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5.825,32</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5.825,32</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-1.207,14</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-1.207,14</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-17,17%</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-17,17%</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0,57%</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0,74%</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-0,17</w:t>
            </w:r>
          </w:p>
        </w:tc>
      </w:tr>
      <w:tr w:rsidR="00166316" w:rsidRPr="00166316" w:rsidTr="00CF4281">
        <w:trPr>
          <w:trHeight w:val="428"/>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Fonduri de rezervă</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tcPr>
          <w:p w:rsidR="00166316" w:rsidRPr="00166316" w:rsidRDefault="00166316" w:rsidP="00CF4281">
            <w:pPr>
              <w:spacing w:after="0" w:line="240" w:lineRule="auto"/>
              <w:jc w:val="center"/>
              <w:rPr>
                <w:rFonts w:eastAsia="Times New Roman" w:cstheme="minorHAnsi"/>
                <w:sz w:val="16"/>
                <w:szCs w:val="16"/>
              </w:rPr>
            </w:pP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0,01%</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0,01</w:t>
            </w:r>
          </w:p>
        </w:tc>
      </w:tr>
      <w:tr w:rsidR="00166316" w:rsidRPr="00166316" w:rsidTr="00CF4281">
        <w:trPr>
          <w:trHeight w:val="503"/>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Cheltuieli aferente programelor cu finanțare rambursabilă</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387,84</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387,84</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706,75</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706,75</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318,91</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318,91</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82,23%</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82,23%</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0,07%</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0,04%</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0,03</w:t>
            </w:r>
          </w:p>
        </w:tc>
      </w:tr>
      <w:tr w:rsidR="00166316" w:rsidRPr="00166316" w:rsidTr="00CF4281">
        <w:trPr>
          <w:trHeight w:val="404"/>
        </w:trPr>
        <w:tc>
          <w:tcPr>
            <w:tcW w:w="3181"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Cheltuieli de capital</w:t>
            </w:r>
          </w:p>
        </w:tc>
        <w:tc>
          <w:tcPr>
            <w:tcW w:w="144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23.861,10</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240,20</w:t>
            </w:r>
          </w:p>
        </w:tc>
        <w:tc>
          <w:tcPr>
            <w:tcW w:w="1124"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23.620,90</w:t>
            </w:r>
          </w:p>
        </w:tc>
        <w:tc>
          <w:tcPr>
            <w:tcW w:w="112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22.371,24</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22.371,24</w:t>
            </w:r>
          </w:p>
        </w:tc>
        <w:tc>
          <w:tcPr>
            <w:tcW w:w="966"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-1.489,87</w:t>
            </w:r>
          </w:p>
        </w:tc>
        <w:tc>
          <w:tcPr>
            <w:tcW w:w="86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-1.249,67</w:t>
            </w:r>
          </w:p>
        </w:tc>
        <w:tc>
          <w:tcPr>
            <w:tcW w:w="98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-6,24%</w:t>
            </w:r>
          </w:p>
        </w:tc>
        <w:tc>
          <w:tcPr>
            <w:tcW w:w="98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-5,29%</w:t>
            </w:r>
          </w:p>
        </w:tc>
        <w:tc>
          <w:tcPr>
            <w:tcW w:w="843"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2,19%</w:t>
            </w:r>
          </w:p>
        </w:tc>
        <w:tc>
          <w:tcPr>
            <w:tcW w:w="842"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2,49%</w:t>
            </w:r>
          </w:p>
        </w:tc>
        <w:tc>
          <w:tcPr>
            <w:tcW w:w="985"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-0,30</w:t>
            </w:r>
          </w:p>
        </w:tc>
      </w:tr>
      <w:tr w:rsidR="00166316" w:rsidRPr="00166316" w:rsidTr="00CF4281">
        <w:trPr>
          <w:trHeight w:val="605"/>
        </w:trPr>
        <w:tc>
          <w:tcPr>
            <w:tcW w:w="3181" w:type="dxa"/>
            <w:tcBorders>
              <w:top w:val="single" w:sz="6" w:space="0" w:color="DBE5F1" w:themeColor="accent1" w:themeTint="33"/>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Plăți efectuate în anii precedenți și recuperate în anul curent</w:t>
            </w:r>
          </w:p>
        </w:tc>
        <w:tc>
          <w:tcPr>
            <w:tcW w:w="1445"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-1.798,75</w:t>
            </w:r>
          </w:p>
        </w:tc>
        <w:tc>
          <w:tcPr>
            <w:tcW w:w="98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1124"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-1.798,75</w:t>
            </w:r>
          </w:p>
        </w:tc>
        <w:tc>
          <w:tcPr>
            <w:tcW w:w="1124"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84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p>
        </w:tc>
        <w:tc>
          <w:tcPr>
            <w:tcW w:w="98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966" w:type="dxa"/>
            <w:tcBorders>
              <w:top w:val="single" w:sz="6" w:space="0" w:color="DBE5F1" w:themeColor="accent1" w:themeTint="33"/>
              <w:left w:val="single" w:sz="8" w:space="0" w:color="auto"/>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1.798,75</w:t>
            </w:r>
          </w:p>
        </w:tc>
        <w:tc>
          <w:tcPr>
            <w:tcW w:w="868"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1.798,75</w:t>
            </w:r>
          </w:p>
        </w:tc>
        <w:tc>
          <w:tcPr>
            <w:tcW w:w="98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983"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-100,00%</w:t>
            </w:r>
          </w:p>
        </w:tc>
        <w:tc>
          <w:tcPr>
            <w:tcW w:w="843"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0,00%</w:t>
            </w:r>
          </w:p>
        </w:tc>
        <w:tc>
          <w:tcPr>
            <w:tcW w:w="842"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-0,19%</w:t>
            </w:r>
          </w:p>
        </w:tc>
        <w:tc>
          <w:tcPr>
            <w:tcW w:w="985"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6"/>
                <w:szCs w:val="16"/>
              </w:rPr>
            </w:pPr>
            <w:r w:rsidRPr="00166316">
              <w:rPr>
                <w:rFonts w:eastAsia="Times New Roman" w:cstheme="minorHAnsi"/>
                <w:sz w:val="16"/>
                <w:szCs w:val="16"/>
              </w:rPr>
              <w:t>0,19</w:t>
            </w:r>
          </w:p>
        </w:tc>
      </w:tr>
      <w:tr w:rsidR="00166316" w:rsidRPr="00166316" w:rsidTr="00CF4281">
        <w:trPr>
          <w:trHeight w:val="312"/>
        </w:trPr>
        <w:tc>
          <w:tcPr>
            <w:tcW w:w="3181"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lastRenderedPageBreak/>
              <w:t>EXCEDENT(+) / DEFICIT(-)</w:t>
            </w:r>
          </w:p>
        </w:tc>
        <w:tc>
          <w:tcPr>
            <w:tcW w:w="1445"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-27.336,26</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0,00</w:t>
            </w:r>
          </w:p>
        </w:tc>
        <w:tc>
          <w:tcPr>
            <w:tcW w:w="1124"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-27.336,26</w:t>
            </w:r>
          </w:p>
        </w:tc>
        <w:tc>
          <w:tcPr>
            <w:tcW w:w="1124"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-26.118,17</w:t>
            </w:r>
          </w:p>
        </w:tc>
        <w:tc>
          <w:tcPr>
            <w:tcW w:w="84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0,00</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-26.118,17</w:t>
            </w:r>
          </w:p>
        </w:tc>
        <w:tc>
          <w:tcPr>
            <w:tcW w:w="966"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1.218,09</w:t>
            </w:r>
          </w:p>
        </w:tc>
        <w:tc>
          <w:tcPr>
            <w:tcW w:w="868"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1.218,09</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-4,46%</w:t>
            </w:r>
          </w:p>
        </w:tc>
        <w:tc>
          <w:tcPr>
            <w:tcW w:w="98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-4,46%</w:t>
            </w:r>
          </w:p>
        </w:tc>
        <w:tc>
          <w:tcPr>
            <w:tcW w:w="843"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-2,55%</w:t>
            </w:r>
          </w:p>
        </w:tc>
        <w:tc>
          <w:tcPr>
            <w:tcW w:w="842"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-2,88%</w:t>
            </w:r>
          </w:p>
        </w:tc>
        <w:tc>
          <w:tcPr>
            <w:tcW w:w="985" w:type="dxa"/>
            <w:tcBorders>
              <w:top w:val="single" w:sz="8" w:space="0" w:color="auto"/>
              <w:left w:val="nil"/>
              <w:bottom w:val="single" w:sz="8" w:space="0" w:color="auto"/>
              <w:right w:val="single" w:sz="8" w:space="0" w:color="auto"/>
            </w:tcBorders>
            <w:shd w:val="clear" w:color="000000" w:fill="8DB4E2"/>
            <w:noWrap/>
            <w:vAlign w:val="center"/>
            <w:hideMark/>
          </w:tcPr>
          <w:p w:rsidR="00166316" w:rsidRPr="00166316" w:rsidRDefault="00166316" w:rsidP="00CF4281">
            <w:pPr>
              <w:spacing w:after="0" w:line="240" w:lineRule="auto"/>
              <w:jc w:val="center"/>
              <w:rPr>
                <w:rFonts w:eastAsia="Times New Roman" w:cstheme="minorHAnsi"/>
                <w:b/>
                <w:bCs/>
                <w:sz w:val="16"/>
                <w:szCs w:val="16"/>
              </w:rPr>
            </w:pPr>
            <w:r w:rsidRPr="00166316">
              <w:rPr>
                <w:rFonts w:eastAsia="Times New Roman" w:cstheme="minorHAnsi"/>
                <w:b/>
                <w:bCs/>
                <w:sz w:val="16"/>
                <w:szCs w:val="16"/>
              </w:rPr>
              <w:t>0,32</w:t>
            </w:r>
          </w:p>
        </w:tc>
      </w:tr>
    </w:tbl>
    <w:p w:rsidR="00166316" w:rsidRPr="00166316" w:rsidRDefault="00166316" w:rsidP="00166316">
      <w:pPr>
        <w:jc w:val="center"/>
        <w:rPr>
          <w:i/>
          <w:sz w:val="24"/>
          <w:szCs w:val="24"/>
        </w:rPr>
      </w:pPr>
      <w:r w:rsidRPr="00166316">
        <w:rPr>
          <w:sz w:val="24"/>
          <w:szCs w:val="24"/>
        </w:rPr>
        <w:t xml:space="preserve">Sursa: </w:t>
      </w:r>
      <w:r w:rsidRPr="00166316">
        <w:rPr>
          <w:i/>
          <w:sz w:val="24"/>
          <w:szCs w:val="24"/>
        </w:rPr>
        <w:t>Ministerul Finanțelor Publice, calcule Consiliul fiscal</w:t>
      </w:r>
    </w:p>
    <w:tbl>
      <w:tblPr>
        <w:tblW w:w="15168" w:type="dxa"/>
        <w:tblInd w:w="-294" w:type="dxa"/>
        <w:tblLook w:val="04A0" w:firstRow="1" w:lastRow="0" w:firstColumn="1" w:lastColumn="0" w:noHBand="0" w:noVBand="1"/>
      </w:tblPr>
      <w:tblGrid>
        <w:gridCol w:w="4820"/>
        <w:gridCol w:w="1418"/>
        <w:gridCol w:w="1559"/>
        <w:gridCol w:w="1701"/>
        <w:gridCol w:w="1701"/>
        <w:gridCol w:w="1418"/>
        <w:gridCol w:w="1134"/>
        <w:gridCol w:w="1417"/>
      </w:tblGrid>
      <w:tr w:rsidR="00166316" w:rsidRPr="00166316" w:rsidTr="00CF4281">
        <w:trPr>
          <w:trHeight w:val="971"/>
        </w:trPr>
        <w:tc>
          <w:tcPr>
            <w:tcW w:w="4820" w:type="dxa"/>
            <w:vMerge w:val="restart"/>
            <w:tcBorders>
              <w:top w:val="single" w:sz="8" w:space="0" w:color="auto"/>
              <w:left w:val="single" w:sz="8" w:space="0" w:color="auto"/>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4"/>
                <w:szCs w:val="24"/>
              </w:rPr>
            </w:pPr>
            <w:bookmarkStart w:id="1" w:name="_Hlk185753"/>
            <w:r w:rsidRPr="00166316">
              <w:rPr>
                <w:rFonts w:eastAsia="Times New Roman" w:cstheme="minorHAnsi"/>
                <w:b/>
                <w:bCs/>
                <w:color w:val="FFFFFF"/>
                <w:sz w:val="24"/>
                <w:szCs w:val="24"/>
              </w:rPr>
              <w:t>Anexa nr. 4 – Evoluția agregatelor bugetare în perioada 2019 - 2020</w:t>
            </w:r>
          </w:p>
        </w:tc>
        <w:tc>
          <w:tcPr>
            <w:tcW w:w="1418"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Proiect Buget 2019 (mil. lei)</w:t>
            </w:r>
          </w:p>
        </w:tc>
        <w:tc>
          <w:tcPr>
            <w:tcW w:w="1559"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 (mil. lei)</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2020-Proiect Buget 2019 (mil. lei)</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2020 - Proiect Buget 2019 (%)</w:t>
            </w:r>
          </w:p>
        </w:tc>
        <w:tc>
          <w:tcPr>
            <w:tcW w:w="1418" w:type="dxa"/>
            <w:tcBorders>
              <w:top w:val="single" w:sz="8" w:space="0" w:color="auto"/>
              <w:left w:val="single" w:sz="8" w:space="0" w:color="auto"/>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Proiect Buget 2019 (% din PIB)</w:t>
            </w:r>
          </w:p>
        </w:tc>
        <w:tc>
          <w:tcPr>
            <w:tcW w:w="1134"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 (% din PIB)</w:t>
            </w:r>
          </w:p>
        </w:tc>
        <w:tc>
          <w:tcPr>
            <w:tcW w:w="1417"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2020-Proiect Buget 2019 (% din PIB)</w:t>
            </w:r>
          </w:p>
        </w:tc>
      </w:tr>
      <w:tr w:rsidR="00166316" w:rsidRPr="00166316" w:rsidTr="00CF4281">
        <w:trPr>
          <w:trHeight w:val="265"/>
        </w:trPr>
        <w:tc>
          <w:tcPr>
            <w:tcW w:w="4820" w:type="dxa"/>
            <w:vMerge/>
            <w:tcBorders>
              <w:top w:val="single" w:sz="8" w:space="0" w:color="auto"/>
              <w:left w:val="single" w:sz="8" w:space="0" w:color="auto"/>
              <w:bottom w:val="single" w:sz="8" w:space="0" w:color="auto"/>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20"/>
                <w:szCs w:val="20"/>
              </w:rPr>
            </w:pPr>
          </w:p>
        </w:tc>
        <w:tc>
          <w:tcPr>
            <w:tcW w:w="1418"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1</w:t>
            </w:r>
          </w:p>
        </w:tc>
        <w:tc>
          <w:tcPr>
            <w:tcW w:w="1559"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2</w:t>
            </w: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3 = 2-1</w:t>
            </w: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4 =3/1</w:t>
            </w:r>
          </w:p>
        </w:tc>
        <w:tc>
          <w:tcPr>
            <w:tcW w:w="1418" w:type="dxa"/>
            <w:tcBorders>
              <w:top w:val="nil"/>
              <w:left w:val="single" w:sz="8" w:space="0" w:color="auto"/>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5</w:t>
            </w:r>
          </w:p>
        </w:tc>
        <w:tc>
          <w:tcPr>
            <w:tcW w:w="1134"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6</w:t>
            </w:r>
          </w:p>
        </w:tc>
        <w:tc>
          <w:tcPr>
            <w:tcW w:w="1417" w:type="dxa"/>
            <w:tcBorders>
              <w:top w:val="nil"/>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7 = 6-5</w:t>
            </w:r>
          </w:p>
        </w:tc>
      </w:tr>
      <w:bookmarkEnd w:id="1"/>
      <w:tr w:rsidR="00166316" w:rsidRPr="00166316" w:rsidTr="00CF4281">
        <w:trPr>
          <w:trHeight w:val="278"/>
        </w:trPr>
        <w:tc>
          <w:tcPr>
            <w:tcW w:w="4820" w:type="dxa"/>
            <w:tcBorders>
              <w:top w:val="nil"/>
              <w:left w:val="single" w:sz="8" w:space="0" w:color="auto"/>
              <w:bottom w:val="single" w:sz="8" w:space="0" w:color="auto"/>
              <w:right w:val="single" w:sz="8" w:space="0" w:color="auto"/>
            </w:tcBorders>
            <w:shd w:val="clear" w:color="000000" w:fill="ACB9CA"/>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VENITURI TOTALE</w:t>
            </w:r>
          </w:p>
        </w:tc>
        <w:tc>
          <w:tcPr>
            <w:tcW w:w="1418"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341.509,96</w:t>
            </w:r>
          </w:p>
        </w:tc>
        <w:tc>
          <w:tcPr>
            <w:tcW w:w="1559"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354.809,90</w:t>
            </w:r>
          </w:p>
        </w:tc>
        <w:tc>
          <w:tcPr>
            <w:tcW w:w="1701"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13.299,94</w:t>
            </w:r>
          </w:p>
        </w:tc>
        <w:tc>
          <w:tcPr>
            <w:tcW w:w="1701" w:type="dxa"/>
            <w:tcBorders>
              <w:top w:val="nil"/>
              <w:left w:val="nil"/>
              <w:bottom w:val="single" w:sz="8" w:space="0" w:color="auto"/>
              <w:right w:val="nil"/>
            </w:tcBorders>
            <w:shd w:val="clear" w:color="000000" w:fill="ACB9CA"/>
            <w:noWrap/>
            <w:vAlign w:val="center"/>
            <w:hideMark/>
          </w:tcPr>
          <w:p w:rsidR="00166316" w:rsidRPr="00166316" w:rsidRDefault="00166316" w:rsidP="00CF4281">
            <w:pPr>
              <w:spacing w:after="0"/>
              <w:jc w:val="center"/>
              <w:rPr>
                <w:b/>
                <w:sz w:val="18"/>
                <w:szCs w:val="18"/>
              </w:rPr>
            </w:pPr>
            <w:r w:rsidRPr="00166316">
              <w:rPr>
                <w:b/>
                <w:sz w:val="18"/>
                <w:szCs w:val="18"/>
              </w:rPr>
              <w:t>3,89%</w:t>
            </w:r>
          </w:p>
        </w:tc>
        <w:tc>
          <w:tcPr>
            <w:tcW w:w="1418" w:type="dxa"/>
            <w:tcBorders>
              <w:top w:val="nil"/>
              <w:left w:val="single" w:sz="8" w:space="0" w:color="auto"/>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33,40%</w:t>
            </w:r>
          </w:p>
        </w:tc>
        <w:tc>
          <w:tcPr>
            <w:tcW w:w="1134"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32,23%</w:t>
            </w:r>
          </w:p>
        </w:tc>
        <w:tc>
          <w:tcPr>
            <w:tcW w:w="1417"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-1,17</w:t>
            </w:r>
          </w:p>
        </w:tc>
      </w:tr>
      <w:tr w:rsidR="00166316" w:rsidRPr="00166316" w:rsidTr="00CF4281">
        <w:trPr>
          <w:trHeight w:val="269"/>
        </w:trPr>
        <w:tc>
          <w:tcPr>
            <w:tcW w:w="4820"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Venituri curente</w:t>
            </w:r>
          </w:p>
        </w:tc>
        <w:tc>
          <w:tcPr>
            <w:tcW w:w="1418"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307.985,77</w:t>
            </w:r>
          </w:p>
        </w:tc>
        <w:tc>
          <w:tcPr>
            <w:tcW w:w="1559"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327.836,94</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19.851,17</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6,45%</w:t>
            </w:r>
          </w:p>
        </w:tc>
        <w:tc>
          <w:tcPr>
            <w:tcW w:w="1418" w:type="dxa"/>
            <w:tcBorders>
              <w:top w:val="single" w:sz="8" w:space="0" w:color="auto"/>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30,12%</w:t>
            </w:r>
          </w:p>
        </w:tc>
        <w:tc>
          <w:tcPr>
            <w:tcW w:w="113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29,78%</w:t>
            </w:r>
          </w:p>
        </w:tc>
        <w:tc>
          <w:tcPr>
            <w:tcW w:w="1417"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-0,34</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Venituri fiscale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162.447,82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169.481,64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7.033,82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4,33%</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15,89%</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15,39%</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-0,49</w:t>
            </w:r>
          </w:p>
        </w:tc>
      </w:tr>
      <w:tr w:rsidR="00166316" w:rsidRPr="00166316" w:rsidTr="00CF4281">
        <w:trPr>
          <w:trHeight w:val="492"/>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Impozitul pe profit, salarii, venit și câștiguri din capital</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44.257,24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47.495,56</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3.238,32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7,32%</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4,33%</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4,31%</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Impozitul pe profit</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17.192,89</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17.972,44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779,55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4,53%</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1,68%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1,63%</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-0,05</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Impozitul pe salarii și venit</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23.662,99</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25.873,76</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2.210,77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9,34%</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2,31%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2,35%</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0,04</w:t>
            </w:r>
          </w:p>
        </w:tc>
      </w:tr>
      <w:tr w:rsidR="00166316" w:rsidRPr="00166316" w:rsidTr="00CF4281">
        <w:trPr>
          <w:trHeight w:val="330"/>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Alte impozite pe venit, profit și câștiguri din capital</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3.401,36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3.649,36</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248,00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7,29%</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0,33%</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0,33%</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Impozite și taxe pe proprietate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6.087,10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6.799,70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712,60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11,71%</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0,60%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0,62%</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0,02</w:t>
            </w:r>
          </w:p>
        </w:tc>
      </w:tr>
      <w:tr w:rsidR="00166316" w:rsidRPr="00166316" w:rsidTr="00CF4281">
        <w:trPr>
          <w:trHeight w:val="295"/>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Impozite și taxe pe bunuri și servicii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110.190,80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113.119,53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2.928,73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2,66%</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10,78%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10,27%</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-0,50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TVA</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69.647,92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71.717,74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2.069,83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2,97%</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6,81%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6,51%</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-0,30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Accize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31.071,03</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32.374,58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1.303,55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4,20%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3,04%</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2,94%</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-0,10</w:t>
            </w:r>
          </w:p>
        </w:tc>
      </w:tr>
      <w:tr w:rsidR="00166316" w:rsidRPr="00166316" w:rsidTr="00CF4281">
        <w:trPr>
          <w:trHeight w:val="308"/>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Alte impozite și taxe pe bunuri și servicii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4.534,28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4.660,17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125,90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2,78%</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0,44%</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0,42%</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-0,02</w:t>
            </w:r>
          </w:p>
        </w:tc>
      </w:tr>
      <w:tr w:rsidR="00166316" w:rsidRPr="00166316" w:rsidTr="00CF4281">
        <w:trPr>
          <w:trHeight w:val="452"/>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Taxa pe utilizarea bunurilor, autorizarea utilizării bunurilor sau pe desfășurarea de activități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4.937,58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4.367,03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-570,55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-11,56%</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0,48%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0,40%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-0,09</w:t>
            </w:r>
          </w:p>
        </w:tc>
      </w:tr>
      <w:tr w:rsidR="00166316" w:rsidRPr="00166316" w:rsidTr="00CF4281">
        <w:trPr>
          <w:trHeight w:val="278"/>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Impozitul pe comerțul exterior (taxe vamale)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1.144,70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1.246,58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101,88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8,90%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0,11%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0,11%</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Alte impozite și taxe fiscale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767,98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820,28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52,30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6,81%</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0,07%</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Contribuții de asigurări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117.246,08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129.757,80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12.511,71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10,67%</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11,47%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11,79%</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0,32</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Venituri nefiscale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28.291,87</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28.597,50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305,63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1,08%</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2,77%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2,60%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-0,17</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Venituri din capital</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972,86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1.037,04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64,18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6,60%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0,10%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0,09%</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Donații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8,76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2,58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-6,18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-70,56%</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270"/>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Sume de la UE în contul plăților efectuate și prefinanțări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95,46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1,29</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-94,17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-98,65%</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r>
      <w:tr w:rsidR="00166316" w:rsidRPr="00166316" w:rsidTr="00CF4281">
        <w:trPr>
          <w:trHeight w:val="261"/>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6"/>
                <w:szCs w:val="16"/>
              </w:rPr>
            </w:pPr>
            <w:r w:rsidRPr="00166316">
              <w:rPr>
                <w:rFonts w:eastAsia="Times New Roman" w:cstheme="minorHAnsi"/>
                <w:b/>
                <w:bCs/>
                <w:sz w:val="16"/>
                <w:szCs w:val="16"/>
              </w:rPr>
              <w:t xml:space="preserve">Sume încasate în contul unic, la bugetul de stat / in curs de </w:t>
            </w:r>
            <w:r w:rsidRPr="00166316">
              <w:rPr>
                <w:rFonts w:eastAsia="Times New Roman" w:cstheme="minorHAnsi"/>
                <w:b/>
                <w:bCs/>
                <w:sz w:val="16"/>
                <w:szCs w:val="16"/>
              </w:rPr>
              <w:lastRenderedPageBreak/>
              <w:t>distribuire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lastRenderedPageBreak/>
              <w:t>0,00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0,00%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421"/>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lastRenderedPageBreak/>
              <w:t>Alte sume primite de la UE pentru programele operaționale finanțate in cadrul obiectivului convergenta</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108,72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-108,72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-100,00%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r>
      <w:tr w:rsidR="00166316" w:rsidRPr="00166316" w:rsidTr="00CF4281">
        <w:trPr>
          <w:trHeight w:val="414"/>
        </w:trPr>
        <w:tc>
          <w:tcPr>
            <w:tcW w:w="4820" w:type="dxa"/>
            <w:tcBorders>
              <w:top w:val="single" w:sz="6" w:space="0" w:color="DBE5F1" w:themeColor="accent1" w:themeTint="33"/>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Sume primite de la UE/alți donatori in contul plaților efectuate si prefinanțări aferente cadrului financiar 2014-2020</w:t>
            </w:r>
          </w:p>
        </w:tc>
        <w:tc>
          <w:tcPr>
            <w:tcW w:w="1418"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32.338,39</w:t>
            </w:r>
          </w:p>
        </w:tc>
        <w:tc>
          <w:tcPr>
            <w:tcW w:w="1559"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25.932,05</w:t>
            </w:r>
          </w:p>
        </w:tc>
        <w:tc>
          <w:tcPr>
            <w:tcW w:w="1701"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-6.406,34</w:t>
            </w:r>
          </w:p>
        </w:tc>
        <w:tc>
          <w:tcPr>
            <w:tcW w:w="1701"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-19,81%</w:t>
            </w:r>
          </w:p>
        </w:tc>
        <w:tc>
          <w:tcPr>
            <w:tcW w:w="1418" w:type="dxa"/>
            <w:tcBorders>
              <w:top w:val="single" w:sz="6" w:space="0" w:color="DBE5F1" w:themeColor="accent1" w:themeTint="33"/>
              <w:left w:val="single" w:sz="8" w:space="0" w:color="auto"/>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3,16%</w:t>
            </w:r>
          </w:p>
        </w:tc>
        <w:tc>
          <w:tcPr>
            <w:tcW w:w="1134"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2,36%</w:t>
            </w:r>
          </w:p>
        </w:tc>
        <w:tc>
          <w:tcPr>
            <w:tcW w:w="1417"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-0,81</w:t>
            </w:r>
          </w:p>
        </w:tc>
      </w:tr>
      <w:tr w:rsidR="00166316" w:rsidRPr="00166316" w:rsidTr="00CF4281">
        <w:trPr>
          <w:trHeight w:val="971"/>
        </w:trPr>
        <w:tc>
          <w:tcPr>
            <w:tcW w:w="4820" w:type="dxa"/>
            <w:vMerge w:val="restart"/>
            <w:tcBorders>
              <w:top w:val="single" w:sz="8" w:space="0" w:color="auto"/>
              <w:left w:val="single" w:sz="8" w:space="0" w:color="auto"/>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4"/>
                <w:szCs w:val="24"/>
              </w:rPr>
            </w:pPr>
            <w:r w:rsidRPr="00166316">
              <w:rPr>
                <w:rFonts w:eastAsia="Times New Roman" w:cstheme="minorHAnsi"/>
                <w:b/>
                <w:bCs/>
                <w:color w:val="FFFFFF"/>
                <w:sz w:val="24"/>
                <w:szCs w:val="24"/>
              </w:rPr>
              <w:t>Anexa nr. 4 – Evoluția agregatelor bugetare în perioada 2019 – 2020 (continuare)</w:t>
            </w:r>
          </w:p>
        </w:tc>
        <w:tc>
          <w:tcPr>
            <w:tcW w:w="1418"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Proiect Buget 2019 (mil. lei)</w:t>
            </w:r>
          </w:p>
        </w:tc>
        <w:tc>
          <w:tcPr>
            <w:tcW w:w="1559"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 (mil. lei)</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2020-Proiect Buget 2019 (mil. lei)</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2020 - Proiect Buget 2019 (%)</w:t>
            </w:r>
          </w:p>
        </w:tc>
        <w:tc>
          <w:tcPr>
            <w:tcW w:w="1418" w:type="dxa"/>
            <w:tcBorders>
              <w:top w:val="single" w:sz="8" w:space="0" w:color="auto"/>
              <w:left w:val="single" w:sz="8" w:space="0" w:color="auto"/>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Proiect Buget 2019 (% din PIB)</w:t>
            </w:r>
          </w:p>
        </w:tc>
        <w:tc>
          <w:tcPr>
            <w:tcW w:w="1134"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 (% din PIB)</w:t>
            </w:r>
          </w:p>
        </w:tc>
        <w:tc>
          <w:tcPr>
            <w:tcW w:w="1417"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Proiecție SFB 2020-Proiect Buget 2019 (% din PIB)</w:t>
            </w:r>
          </w:p>
        </w:tc>
      </w:tr>
      <w:tr w:rsidR="00166316" w:rsidRPr="00166316" w:rsidTr="00CF4281">
        <w:trPr>
          <w:trHeight w:val="265"/>
        </w:trPr>
        <w:tc>
          <w:tcPr>
            <w:tcW w:w="4820" w:type="dxa"/>
            <w:vMerge/>
            <w:tcBorders>
              <w:top w:val="single" w:sz="8" w:space="0" w:color="auto"/>
              <w:left w:val="single" w:sz="8" w:space="0" w:color="auto"/>
              <w:bottom w:val="single" w:sz="8" w:space="0" w:color="auto"/>
              <w:right w:val="single" w:sz="8" w:space="0" w:color="auto"/>
            </w:tcBorders>
            <w:vAlign w:val="center"/>
            <w:hideMark/>
          </w:tcPr>
          <w:p w:rsidR="00166316" w:rsidRPr="00166316" w:rsidRDefault="00166316" w:rsidP="00CF4281">
            <w:pPr>
              <w:spacing w:after="0" w:line="240" w:lineRule="auto"/>
              <w:rPr>
                <w:rFonts w:eastAsia="Times New Roman" w:cstheme="minorHAnsi"/>
                <w:b/>
                <w:bCs/>
                <w:color w:val="FFFFFF"/>
                <w:sz w:val="20"/>
                <w:szCs w:val="20"/>
              </w:rPr>
            </w:pPr>
          </w:p>
        </w:tc>
        <w:tc>
          <w:tcPr>
            <w:tcW w:w="1418"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1</w:t>
            </w:r>
          </w:p>
        </w:tc>
        <w:tc>
          <w:tcPr>
            <w:tcW w:w="1559"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2</w:t>
            </w: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3 = 2-1</w:t>
            </w: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4 =3/1</w:t>
            </w:r>
          </w:p>
        </w:tc>
        <w:tc>
          <w:tcPr>
            <w:tcW w:w="1418" w:type="dxa"/>
            <w:tcBorders>
              <w:top w:val="nil"/>
              <w:left w:val="single" w:sz="8" w:space="0" w:color="auto"/>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5</w:t>
            </w:r>
          </w:p>
        </w:tc>
        <w:tc>
          <w:tcPr>
            <w:tcW w:w="1134"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6</w:t>
            </w:r>
          </w:p>
        </w:tc>
        <w:tc>
          <w:tcPr>
            <w:tcW w:w="1417" w:type="dxa"/>
            <w:tcBorders>
              <w:top w:val="nil"/>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eastAsia="Times New Roman" w:cstheme="minorHAnsi"/>
                <w:b/>
                <w:bCs/>
                <w:color w:val="FFFFFF"/>
                <w:sz w:val="20"/>
                <w:szCs w:val="20"/>
              </w:rPr>
            </w:pPr>
            <w:r w:rsidRPr="00166316">
              <w:rPr>
                <w:rFonts w:eastAsia="Times New Roman" w:cstheme="minorHAnsi"/>
                <w:b/>
                <w:bCs/>
                <w:color w:val="FFFFFF"/>
                <w:sz w:val="20"/>
                <w:szCs w:val="20"/>
              </w:rPr>
              <w:t>7 = 6-5</w:t>
            </w:r>
          </w:p>
        </w:tc>
      </w:tr>
      <w:tr w:rsidR="00166316" w:rsidRPr="00166316" w:rsidTr="00CF4281">
        <w:trPr>
          <w:trHeight w:val="278"/>
        </w:trPr>
        <w:tc>
          <w:tcPr>
            <w:tcW w:w="4820" w:type="dxa"/>
            <w:tcBorders>
              <w:top w:val="single" w:sz="4" w:space="0" w:color="auto"/>
              <w:left w:val="single" w:sz="8" w:space="0" w:color="auto"/>
              <w:bottom w:val="single" w:sz="8" w:space="0" w:color="auto"/>
              <w:right w:val="single" w:sz="8" w:space="0" w:color="auto"/>
            </w:tcBorders>
            <w:shd w:val="clear" w:color="000000" w:fill="ACB9CA"/>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CHELTUIELI TOTALE</w:t>
            </w:r>
          </w:p>
        </w:tc>
        <w:tc>
          <w:tcPr>
            <w:tcW w:w="1418" w:type="dxa"/>
            <w:tcBorders>
              <w:top w:val="single" w:sz="4"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367.628,13</w:t>
            </w:r>
          </w:p>
        </w:tc>
        <w:tc>
          <w:tcPr>
            <w:tcW w:w="1559" w:type="dxa"/>
            <w:tcBorders>
              <w:top w:val="single" w:sz="4"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377.876,47</w:t>
            </w:r>
          </w:p>
        </w:tc>
        <w:tc>
          <w:tcPr>
            <w:tcW w:w="1701" w:type="dxa"/>
            <w:tcBorders>
              <w:top w:val="single" w:sz="4"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10.248,34</w:t>
            </w:r>
          </w:p>
        </w:tc>
        <w:tc>
          <w:tcPr>
            <w:tcW w:w="1701" w:type="dxa"/>
            <w:tcBorders>
              <w:top w:val="single" w:sz="4" w:space="0" w:color="auto"/>
              <w:left w:val="nil"/>
              <w:bottom w:val="single" w:sz="8" w:space="0" w:color="auto"/>
              <w:right w:val="nil"/>
            </w:tcBorders>
            <w:shd w:val="clear" w:color="000000" w:fill="ACB9CA"/>
            <w:noWrap/>
            <w:vAlign w:val="center"/>
            <w:hideMark/>
          </w:tcPr>
          <w:p w:rsidR="00166316" w:rsidRPr="00166316" w:rsidRDefault="00166316" w:rsidP="00CF4281">
            <w:pPr>
              <w:spacing w:after="0"/>
              <w:jc w:val="center"/>
              <w:rPr>
                <w:b/>
                <w:sz w:val="18"/>
                <w:szCs w:val="18"/>
              </w:rPr>
            </w:pPr>
            <w:r w:rsidRPr="00166316">
              <w:rPr>
                <w:b/>
                <w:sz w:val="18"/>
                <w:szCs w:val="18"/>
              </w:rPr>
              <w:t>2,79%</w:t>
            </w:r>
          </w:p>
        </w:tc>
        <w:tc>
          <w:tcPr>
            <w:tcW w:w="1418" w:type="dxa"/>
            <w:tcBorders>
              <w:top w:val="single" w:sz="4" w:space="0" w:color="auto"/>
              <w:left w:val="single" w:sz="8" w:space="0" w:color="auto"/>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35,95%</w:t>
            </w:r>
          </w:p>
        </w:tc>
        <w:tc>
          <w:tcPr>
            <w:tcW w:w="1134" w:type="dxa"/>
            <w:tcBorders>
              <w:top w:val="single" w:sz="4"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34,32%</w:t>
            </w:r>
          </w:p>
        </w:tc>
        <w:tc>
          <w:tcPr>
            <w:tcW w:w="1417" w:type="dxa"/>
            <w:tcBorders>
              <w:top w:val="single" w:sz="4"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-1,63</w:t>
            </w:r>
          </w:p>
        </w:tc>
      </w:tr>
      <w:tr w:rsidR="00166316" w:rsidRPr="00166316" w:rsidTr="00CF4281">
        <w:trPr>
          <w:trHeight w:val="269"/>
        </w:trPr>
        <w:tc>
          <w:tcPr>
            <w:tcW w:w="4820"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Cheltuieli curente</w:t>
            </w:r>
          </w:p>
        </w:tc>
        <w:tc>
          <w:tcPr>
            <w:tcW w:w="1418"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345.256,89</w:t>
            </w:r>
          </w:p>
        </w:tc>
        <w:tc>
          <w:tcPr>
            <w:tcW w:w="1559"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356.206,50</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10.949,60</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3,17%</w:t>
            </w:r>
          </w:p>
        </w:tc>
        <w:tc>
          <w:tcPr>
            <w:tcW w:w="1418" w:type="dxa"/>
            <w:tcBorders>
              <w:top w:val="single" w:sz="8" w:space="0" w:color="auto"/>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33,77%</w:t>
            </w:r>
          </w:p>
        </w:tc>
        <w:tc>
          <w:tcPr>
            <w:tcW w:w="113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32,35%</w:t>
            </w:r>
          </w:p>
        </w:tc>
        <w:tc>
          <w:tcPr>
            <w:tcW w:w="1417"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-1,41</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Cheltuieli de personal</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102.465,25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106.587,75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4.122,51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4,02%</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10,02%</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9,68%</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-0,34</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Bunuri și servicii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46.621,84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47.368,55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746,71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1,60%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4,56%</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4,30%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-0,26</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Dobânzi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13.510,12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13.989,16</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479,04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3,55%</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1,32%</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1,27%</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-0,05</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Subvenții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7.948,28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7.437,91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-510,38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-6,42%</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0,78%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0,68%</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-0,10</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Transferuri - Total</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173.904,65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180.117,39</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6.212,74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3,57%</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17,01%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16,36%</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-0,65</w:t>
            </w:r>
          </w:p>
        </w:tc>
      </w:tr>
      <w:tr w:rsidR="00166316" w:rsidRPr="00166316" w:rsidTr="00CF4281">
        <w:trPr>
          <w:trHeight w:val="328"/>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Transferuri între unități ale administrației publice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2.526,46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2.646,51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120,05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4,75%</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0,25%</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0,24%</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Alte transferuri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17.370,26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16.371,12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-999,14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-5,75%</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1,70%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1,49%</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-0,21</w:t>
            </w:r>
          </w:p>
        </w:tc>
      </w:tr>
      <w:tr w:rsidR="00166316" w:rsidRPr="00166316" w:rsidTr="00CF4281">
        <w:trPr>
          <w:trHeight w:val="308"/>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Proiecte cu finanțare din fonduri externe nerambursabile</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359,44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84,05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-275,39</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-76,62%</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0,04%</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-0,03</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Asistență socială</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109.764,44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124.124,03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14.359,59</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13,08%</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10,73%</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11,27%</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0,54</w:t>
            </w:r>
          </w:p>
        </w:tc>
      </w:tr>
      <w:tr w:rsidR="00166316" w:rsidRPr="00166316" w:rsidTr="00CF4281">
        <w:trPr>
          <w:trHeight w:val="548"/>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Proiecte cu finanțare din fonduri externe nerambursabile postaderare 2014-2020</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38.058,72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30.828,12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-7.230,60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-19,00%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3,72%</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2,80%</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-0,92</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sz w:val="18"/>
                <w:szCs w:val="18"/>
              </w:rPr>
            </w:pPr>
            <w:r w:rsidRPr="00166316">
              <w:rPr>
                <w:rFonts w:eastAsia="Times New Roman" w:cstheme="minorHAnsi"/>
                <w:sz w:val="18"/>
                <w:szCs w:val="18"/>
              </w:rPr>
              <w:t>Alte cheltuieli</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5.825,32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6.063,55</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238,23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4,09%</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0,57%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0,55%</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-0,02</w:t>
            </w:r>
          </w:p>
        </w:tc>
      </w:tr>
      <w:tr w:rsidR="00166316" w:rsidRPr="00166316" w:rsidTr="00CF4281">
        <w:trPr>
          <w:trHeight w:val="269"/>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Fonduri de rezervă</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100,00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100,00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0,00%</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0,00</w:t>
            </w:r>
          </w:p>
        </w:tc>
      </w:tr>
      <w:tr w:rsidR="00166316" w:rsidRPr="00166316" w:rsidTr="00CF4281">
        <w:trPr>
          <w:trHeight w:val="482"/>
        </w:trPr>
        <w:tc>
          <w:tcPr>
            <w:tcW w:w="4820"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Cheltuieli aferente programelor cu finanțare rambursabilă</w:t>
            </w:r>
          </w:p>
        </w:tc>
        <w:tc>
          <w:tcPr>
            <w:tcW w:w="1418"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706,75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605,73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-101,02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-14,29%</w:t>
            </w:r>
          </w:p>
        </w:tc>
        <w:tc>
          <w:tcPr>
            <w:tcW w:w="1418" w:type="dxa"/>
            <w:tcBorders>
              <w:top w:val="single" w:sz="6" w:space="0" w:color="DBE5F1" w:themeColor="accent1" w:themeTint="33"/>
              <w:left w:val="single" w:sz="8" w:space="0" w:color="auto"/>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0,06%</w:t>
            </w:r>
          </w:p>
        </w:tc>
        <w:tc>
          <w:tcPr>
            <w:tcW w:w="1417"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-0,01</w:t>
            </w:r>
          </w:p>
        </w:tc>
      </w:tr>
      <w:tr w:rsidR="00166316" w:rsidRPr="00166316" w:rsidTr="00CF4281">
        <w:trPr>
          <w:trHeight w:val="269"/>
        </w:trPr>
        <w:tc>
          <w:tcPr>
            <w:tcW w:w="4820" w:type="dxa"/>
            <w:tcBorders>
              <w:top w:val="single" w:sz="6" w:space="0" w:color="DBE5F1" w:themeColor="accent1" w:themeTint="33"/>
              <w:left w:val="single" w:sz="8" w:space="0" w:color="auto"/>
              <w:bottom w:val="nil"/>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Cheltuieli de capital</w:t>
            </w:r>
          </w:p>
        </w:tc>
        <w:tc>
          <w:tcPr>
            <w:tcW w:w="1418" w:type="dxa"/>
            <w:tcBorders>
              <w:top w:val="single" w:sz="6" w:space="0" w:color="DBE5F1" w:themeColor="accent1" w:themeTint="33"/>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22.371,24</w:t>
            </w:r>
          </w:p>
        </w:tc>
        <w:tc>
          <w:tcPr>
            <w:tcW w:w="1559" w:type="dxa"/>
            <w:tcBorders>
              <w:top w:val="single" w:sz="6" w:space="0" w:color="DBE5F1" w:themeColor="accent1" w:themeTint="33"/>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21.669,97</w:t>
            </w:r>
          </w:p>
        </w:tc>
        <w:tc>
          <w:tcPr>
            <w:tcW w:w="1701" w:type="dxa"/>
            <w:tcBorders>
              <w:top w:val="single" w:sz="6" w:space="0" w:color="DBE5F1" w:themeColor="accent1" w:themeTint="33"/>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-701,27</w:t>
            </w:r>
          </w:p>
        </w:tc>
        <w:tc>
          <w:tcPr>
            <w:tcW w:w="1701" w:type="dxa"/>
            <w:tcBorders>
              <w:top w:val="single" w:sz="6" w:space="0" w:color="DBE5F1" w:themeColor="accent1" w:themeTint="33"/>
              <w:left w:val="nil"/>
              <w:bottom w:val="nil"/>
              <w:right w:val="nil"/>
            </w:tcBorders>
            <w:shd w:val="clear" w:color="auto" w:fill="auto"/>
            <w:noWrap/>
            <w:vAlign w:val="center"/>
            <w:hideMark/>
          </w:tcPr>
          <w:p w:rsidR="00166316" w:rsidRPr="00166316" w:rsidRDefault="00166316" w:rsidP="00CF4281">
            <w:pPr>
              <w:spacing w:after="0"/>
              <w:jc w:val="center"/>
              <w:rPr>
                <w:sz w:val="18"/>
                <w:szCs w:val="18"/>
              </w:rPr>
            </w:pPr>
            <w:r w:rsidRPr="00166316">
              <w:rPr>
                <w:sz w:val="18"/>
                <w:szCs w:val="18"/>
              </w:rPr>
              <w:t>-3,13%</w:t>
            </w:r>
          </w:p>
        </w:tc>
        <w:tc>
          <w:tcPr>
            <w:tcW w:w="1418" w:type="dxa"/>
            <w:tcBorders>
              <w:top w:val="single" w:sz="6" w:space="0" w:color="DBE5F1" w:themeColor="accent1" w:themeTint="33"/>
              <w:left w:val="single" w:sz="8" w:space="0" w:color="auto"/>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2,19%</w:t>
            </w:r>
          </w:p>
        </w:tc>
        <w:tc>
          <w:tcPr>
            <w:tcW w:w="1134" w:type="dxa"/>
            <w:tcBorders>
              <w:top w:val="single" w:sz="6" w:space="0" w:color="DBE5F1" w:themeColor="accent1" w:themeTint="33"/>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1,97%</w:t>
            </w:r>
          </w:p>
        </w:tc>
        <w:tc>
          <w:tcPr>
            <w:tcW w:w="1417" w:type="dxa"/>
            <w:tcBorders>
              <w:top w:val="single" w:sz="6" w:space="0" w:color="DBE5F1" w:themeColor="accent1" w:themeTint="33"/>
              <w:left w:val="nil"/>
              <w:bottom w:val="nil"/>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r w:rsidRPr="00166316">
              <w:rPr>
                <w:rFonts w:eastAsia="Times New Roman" w:cstheme="minorHAnsi"/>
                <w:sz w:val="18"/>
                <w:szCs w:val="18"/>
              </w:rPr>
              <w:t>-0,22</w:t>
            </w:r>
          </w:p>
        </w:tc>
      </w:tr>
      <w:tr w:rsidR="00166316" w:rsidRPr="00166316" w:rsidTr="00CF4281">
        <w:trPr>
          <w:trHeight w:val="264"/>
        </w:trPr>
        <w:tc>
          <w:tcPr>
            <w:tcW w:w="4820" w:type="dxa"/>
            <w:tcBorders>
              <w:top w:val="nil"/>
              <w:left w:val="single" w:sz="8" w:space="0" w:color="auto"/>
              <w:bottom w:val="nil"/>
              <w:right w:val="single" w:sz="8" w:space="0" w:color="auto"/>
            </w:tcBorders>
            <w:shd w:val="clear" w:color="auto" w:fill="auto"/>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Plăți efectuate în anii precedenți și recuperate în anul curent</w:t>
            </w:r>
          </w:p>
        </w:tc>
        <w:tc>
          <w:tcPr>
            <w:tcW w:w="1418" w:type="dxa"/>
            <w:tcBorders>
              <w:top w:val="nil"/>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p>
        </w:tc>
        <w:tc>
          <w:tcPr>
            <w:tcW w:w="1559" w:type="dxa"/>
            <w:tcBorders>
              <w:top w:val="nil"/>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p>
        </w:tc>
        <w:tc>
          <w:tcPr>
            <w:tcW w:w="1701" w:type="dxa"/>
            <w:tcBorders>
              <w:top w:val="nil"/>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p>
        </w:tc>
        <w:tc>
          <w:tcPr>
            <w:tcW w:w="1701" w:type="dxa"/>
            <w:tcBorders>
              <w:top w:val="nil"/>
              <w:left w:val="nil"/>
              <w:bottom w:val="nil"/>
              <w:right w:val="nil"/>
            </w:tcBorders>
            <w:shd w:val="clear" w:color="auto" w:fill="auto"/>
            <w:noWrap/>
            <w:vAlign w:val="center"/>
            <w:hideMark/>
          </w:tcPr>
          <w:p w:rsidR="00166316" w:rsidRPr="00166316" w:rsidRDefault="00166316" w:rsidP="00CF4281">
            <w:pPr>
              <w:spacing w:after="0"/>
              <w:jc w:val="center"/>
              <w:rPr>
                <w:sz w:val="18"/>
                <w:szCs w:val="18"/>
              </w:rPr>
            </w:pPr>
          </w:p>
        </w:tc>
        <w:tc>
          <w:tcPr>
            <w:tcW w:w="1418" w:type="dxa"/>
            <w:tcBorders>
              <w:top w:val="nil"/>
              <w:left w:val="single" w:sz="8" w:space="0" w:color="auto"/>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p>
        </w:tc>
        <w:tc>
          <w:tcPr>
            <w:tcW w:w="1134" w:type="dxa"/>
            <w:tcBorders>
              <w:top w:val="nil"/>
              <w:left w:val="nil"/>
              <w:bottom w:val="nil"/>
              <w:right w:val="nil"/>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p>
        </w:tc>
        <w:tc>
          <w:tcPr>
            <w:tcW w:w="1417" w:type="dxa"/>
            <w:tcBorders>
              <w:top w:val="nil"/>
              <w:left w:val="nil"/>
              <w:bottom w:val="nil"/>
              <w:right w:val="single" w:sz="8" w:space="0" w:color="auto"/>
            </w:tcBorders>
            <w:shd w:val="clear" w:color="auto" w:fill="auto"/>
            <w:noWrap/>
            <w:vAlign w:val="center"/>
            <w:hideMark/>
          </w:tcPr>
          <w:p w:rsidR="00166316" w:rsidRPr="00166316" w:rsidRDefault="00166316" w:rsidP="00CF4281">
            <w:pPr>
              <w:spacing w:after="0" w:line="240" w:lineRule="auto"/>
              <w:jc w:val="center"/>
              <w:rPr>
                <w:rFonts w:eastAsia="Times New Roman" w:cstheme="minorHAnsi"/>
                <w:sz w:val="18"/>
                <w:szCs w:val="18"/>
              </w:rPr>
            </w:pPr>
          </w:p>
        </w:tc>
      </w:tr>
      <w:tr w:rsidR="00166316" w:rsidRPr="00166316" w:rsidTr="00CF4281">
        <w:trPr>
          <w:trHeight w:val="278"/>
        </w:trPr>
        <w:tc>
          <w:tcPr>
            <w:tcW w:w="482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166316" w:rsidRPr="00166316" w:rsidRDefault="00166316" w:rsidP="00CF4281">
            <w:pPr>
              <w:spacing w:after="0" w:line="240" w:lineRule="auto"/>
              <w:jc w:val="both"/>
              <w:rPr>
                <w:rFonts w:eastAsia="Times New Roman" w:cstheme="minorHAnsi"/>
                <w:b/>
                <w:bCs/>
                <w:sz w:val="18"/>
                <w:szCs w:val="18"/>
              </w:rPr>
            </w:pPr>
            <w:r w:rsidRPr="00166316">
              <w:rPr>
                <w:rFonts w:eastAsia="Times New Roman" w:cstheme="minorHAnsi"/>
                <w:b/>
                <w:bCs/>
                <w:sz w:val="18"/>
                <w:szCs w:val="18"/>
              </w:rPr>
              <w:t>EXCEDENT(+) / DEFICIT(-)</w:t>
            </w:r>
          </w:p>
        </w:tc>
        <w:tc>
          <w:tcPr>
            <w:tcW w:w="1418" w:type="dxa"/>
            <w:tcBorders>
              <w:top w:val="single" w:sz="8" w:space="0" w:color="auto"/>
              <w:left w:val="nil"/>
              <w:bottom w:val="single" w:sz="8" w:space="0" w:color="auto"/>
              <w:right w:val="nil"/>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-26.118,17</w:t>
            </w:r>
          </w:p>
        </w:tc>
        <w:tc>
          <w:tcPr>
            <w:tcW w:w="1559"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-23.066,56</w:t>
            </w:r>
          </w:p>
        </w:tc>
        <w:tc>
          <w:tcPr>
            <w:tcW w:w="1701"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3.051,60</w:t>
            </w:r>
          </w:p>
        </w:tc>
        <w:tc>
          <w:tcPr>
            <w:tcW w:w="1701" w:type="dxa"/>
            <w:tcBorders>
              <w:top w:val="single" w:sz="8" w:space="0" w:color="auto"/>
              <w:left w:val="nil"/>
              <w:bottom w:val="single" w:sz="8" w:space="0" w:color="auto"/>
              <w:right w:val="nil"/>
            </w:tcBorders>
            <w:shd w:val="clear" w:color="000000" w:fill="ACB9CA"/>
            <w:noWrap/>
            <w:vAlign w:val="center"/>
            <w:hideMark/>
          </w:tcPr>
          <w:p w:rsidR="00166316" w:rsidRPr="00166316" w:rsidRDefault="00166316" w:rsidP="00CF4281">
            <w:pPr>
              <w:spacing w:after="0"/>
              <w:jc w:val="center"/>
              <w:rPr>
                <w:b/>
                <w:sz w:val="18"/>
                <w:szCs w:val="18"/>
              </w:rPr>
            </w:pPr>
            <w:r w:rsidRPr="00166316">
              <w:rPr>
                <w:b/>
                <w:sz w:val="18"/>
                <w:szCs w:val="18"/>
              </w:rPr>
              <w:t>-11,68%</w:t>
            </w:r>
          </w:p>
        </w:tc>
        <w:tc>
          <w:tcPr>
            <w:tcW w:w="1418"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-2,55%</w:t>
            </w:r>
          </w:p>
        </w:tc>
        <w:tc>
          <w:tcPr>
            <w:tcW w:w="1134"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-2,10%</w:t>
            </w:r>
          </w:p>
        </w:tc>
        <w:tc>
          <w:tcPr>
            <w:tcW w:w="1417"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eastAsia="Times New Roman" w:cstheme="minorHAnsi"/>
                <w:b/>
                <w:bCs/>
                <w:sz w:val="18"/>
                <w:szCs w:val="18"/>
              </w:rPr>
            </w:pPr>
            <w:r w:rsidRPr="00166316">
              <w:rPr>
                <w:rFonts w:eastAsia="Times New Roman" w:cstheme="minorHAnsi"/>
                <w:b/>
                <w:bCs/>
                <w:sz w:val="18"/>
                <w:szCs w:val="18"/>
              </w:rPr>
              <w:t>0,46</w:t>
            </w:r>
          </w:p>
        </w:tc>
      </w:tr>
    </w:tbl>
    <w:p w:rsidR="00166316" w:rsidRPr="00166316" w:rsidRDefault="00166316" w:rsidP="00166316">
      <w:pPr>
        <w:jc w:val="center"/>
        <w:rPr>
          <w:i/>
          <w:sz w:val="24"/>
          <w:szCs w:val="24"/>
        </w:rPr>
      </w:pPr>
      <w:r w:rsidRPr="00166316">
        <w:rPr>
          <w:sz w:val="24"/>
          <w:szCs w:val="24"/>
        </w:rPr>
        <w:t xml:space="preserve">Sursa: </w:t>
      </w:r>
      <w:r w:rsidRPr="00166316">
        <w:rPr>
          <w:i/>
          <w:sz w:val="24"/>
          <w:szCs w:val="24"/>
        </w:rPr>
        <w:t>Ministerul Finanțelor Publice, calcule Consiliul fiscal</w:t>
      </w:r>
    </w:p>
    <w:p w:rsidR="00166316" w:rsidRPr="00166316" w:rsidRDefault="00166316" w:rsidP="00166316"/>
    <w:tbl>
      <w:tblPr>
        <w:tblW w:w="15168" w:type="dxa"/>
        <w:tblInd w:w="-294" w:type="dxa"/>
        <w:tblLook w:val="04A0" w:firstRow="1" w:lastRow="0" w:firstColumn="1" w:lastColumn="0" w:noHBand="0" w:noVBand="1"/>
      </w:tblPr>
      <w:tblGrid>
        <w:gridCol w:w="4395"/>
        <w:gridCol w:w="1701"/>
        <w:gridCol w:w="1559"/>
        <w:gridCol w:w="1701"/>
        <w:gridCol w:w="1418"/>
        <w:gridCol w:w="1417"/>
        <w:gridCol w:w="1134"/>
        <w:gridCol w:w="1843"/>
      </w:tblGrid>
      <w:tr w:rsidR="00166316" w:rsidRPr="00166316" w:rsidTr="00CF4281">
        <w:trPr>
          <w:trHeight w:val="1113"/>
        </w:trPr>
        <w:tc>
          <w:tcPr>
            <w:tcW w:w="4395" w:type="dxa"/>
            <w:vMerge w:val="restart"/>
            <w:tcBorders>
              <w:top w:val="single" w:sz="8" w:space="0" w:color="auto"/>
              <w:left w:val="single" w:sz="8" w:space="0" w:color="auto"/>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4"/>
                <w:szCs w:val="24"/>
              </w:rPr>
            </w:pPr>
            <w:r w:rsidRPr="00166316">
              <w:rPr>
                <w:rFonts w:ascii="Calibri" w:eastAsia="Times New Roman" w:hAnsi="Calibri" w:cs="Calibri"/>
                <w:b/>
                <w:bCs/>
                <w:color w:val="FFFFFF"/>
                <w:sz w:val="24"/>
                <w:szCs w:val="24"/>
              </w:rPr>
              <w:t>Anexa nr. 5 – Evoluția agregatelor bugetare în perioada 2020 - 2021</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2020 (mil. lei)</w:t>
            </w:r>
          </w:p>
        </w:tc>
        <w:tc>
          <w:tcPr>
            <w:tcW w:w="1559"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(mil.lei)</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2021-Proiecție SFB 2020 (mil. lei)</w:t>
            </w:r>
          </w:p>
        </w:tc>
        <w:tc>
          <w:tcPr>
            <w:tcW w:w="1418"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 Proiecție SFB 2020 (%)</w:t>
            </w:r>
          </w:p>
        </w:tc>
        <w:tc>
          <w:tcPr>
            <w:tcW w:w="1417"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2020 (% din PIB)</w:t>
            </w:r>
          </w:p>
        </w:tc>
        <w:tc>
          <w:tcPr>
            <w:tcW w:w="1134"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 din PIB)</w:t>
            </w:r>
          </w:p>
        </w:tc>
        <w:tc>
          <w:tcPr>
            <w:tcW w:w="1843"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 Proiecție SFB 2020 (% din PIB)</w:t>
            </w:r>
          </w:p>
        </w:tc>
      </w:tr>
      <w:tr w:rsidR="00166316" w:rsidRPr="00166316" w:rsidTr="00CF4281">
        <w:trPr>
          <w:trHeight w:val="275"/>
        </w:trPr>
        <w:tc>
          <w:tcPr>
            <w:tcW w:w="4395" w:type="dxa"/>
            <w:vMerge/>
            <w:tcBorders>
              <w:top w:val="single" w:sz="8" w:space="0" w:color="auto"/>
              <w:left w:val="single" w:sz="8" w:space="0" w:color="auto"/>
              <w:bottom w:val="single" w:sz="8" w:space="0" w:color="auto"/>
              <w:right w:val="single" w:sz="8" w:space="0" w:color="auto"/>
            </w:tcBorders>
            <w:vAlign w:val="center"/>
            <w:hideMark/>
          </w:tcPr>
          <w:p w:rsidR="00166316" w:rsidRPr="00166316" w:rsidRDefault="00166316" w:rsidP="00CF4281">
            <w:pPr>
              <w:spacing w:after="0" w:line="240" w:lineRule="auto"/>
              <w:rPr>
                <w:rFonts w:ascii="Calibri" w:eastAsia="Times New Roman" w:hAnsi="Calibri" w:cs="Calibri"/>
                <w:b/>
                <w:bCs/>
                <w:color w:val="FFFFFF"/>
              </w:rPr>
            </w:pP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1</w:t>
            </w:r>
          </w:p>
        </w:tc>
        <w:tc>
          <w:tcPr>
            <w:tcW w:w="1559"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2</w:t>
            </w: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3 = 2-1</w:t>
            </w:r>
          </w:p>
        </w:tc>
        <w:tc>
          <w:tcPr>
            <w:tcW w:w="1418" w:type="dxa"/>
            <w:tcBorders>
              <w:top w:val="nil"/>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4 =3/1</w:t>
            </w:r>
          </w:p>
        </w:tc>
        <w:tc>
          <w:tcPr>
            <w:tcW w:w="1417"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5</w:t>
            </w:r>
          </w:p>
        </w:tc>
        <w:tc>
          <w:tcPr>
            <w:tcW w:w="1134"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6</w:t>
            </w:r>
          </w:p>
        </w:tc>
        <w:tc>
          <w:tcPr>
            <w:tcW w:w="1843" w:type="dxa"/>
            <w:tcBorders>
              <w:top w:val="nil"/>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7 = 6-5</w:t>
            </w:r>
          </w:p>
        </w:tc>
      </w:tr>
      <w:tr w:rsidR="00166316" w:rsidRPr="00166316" w:rsidTr="00CF4281">
        <w:trPr>
          <w:trHeight w:val="278"/>
        </w:trPr>
        <w:tc>
          <w:tcPr>
            <w:tcW w:w="4395" w:type="dxa"/>
            <w:tcBorders>
              <w:top w:val="nil"/>
              <w:left w:val="single" w:sz="8" w:space="0" w:color="auto"/>
              <w:bottom w:val="single" w:sz="8" w:space="0" w:color="auto"/>
              <w:right w:val="single" w:sz="8" w:space="0" w:color="auto"/>
            </w:tcBorders>
            <w:shd w:val="clear" w:color="000000" w:fill="ACB9CA"/>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VENITURI TOTALE</w:t>
            </w:r>
          </w:p>
        </w:tc>
        <w:tc>
          <w:tcPr>
            <w:tcW w:w="1701"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354.809,90</w:t>
            </w:r>
          </w:p>
        </w:tc>
        <w:tc>
          <w:tcPr>
            <w:tcW w:w="1559"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376.847,02</w:t>
            </w:r>
          </w:p>
        </w:tc>
        <w:tc>
          <w:tcPr>
            <w:tcW w:w="1701"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22.037,12</w:t>
            </w:r>
          </w:p>
        </w:tc>
        <w:tc>
          <w:tcPr>
            <w:tcW w:w="1418"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6,21%</w:t>
            </w:r>
          </w:p>
        </w:tc>
        <w:tc>
          <w:tcPr>
            <w:tcW w:w="1417"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32,23%</w:t>
            </w:r>
          </w:p>
        </w:tc>
        <w:tc>
          <w:tcPr>
            <w:tcW w:w="1134"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31,97%</w:t>
            </w:r>
          </w:p>
        </w:tc>
        <w:tc>
          <w:tcPr>
            <w:tcW w:w="1843" w:type="dxa"/>
            <w:tcBorders>
              <w:top w:val="nil"/>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-0,25</w:t>
            </w:r>
          </w:p>
        </w:tc>
      </w:tr>
      <w:tr w:rsidR="00166316" w:rsidRPr="00166316" w:rsidTr="00CF4281">
        <w:trPr>
          <w:trHeight w:val="269"/>
        </w:trPr>
        <w:tc>
          <w:tcPr>
            <w:tcW w:w="4395"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Venituri curente</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327.836,94</w:t>
            </w:r>
          </w:p>
        </w:tc>
        <w:tc>
          <w:tcPr>
            <w:tcW w:w="1559"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352.455,14</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24.618,21</w:t>
            </w:r>
          </w:p>
        </w:tc>
        <w:tc>
          <w:tcPr>
            <w:tcW w:w="1418"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7,51%</w:t>
            </w:r>
          </w:p>
        </w:tc>
        <w:tc>
          <w:tcPr>
            <w:tcW w:w="1417"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29,78%</w:t>
            </w:r>
          </w:p>
        </w:tc>
        <w:tc>
          <w:tcPr>
            <w:tcW w:w="113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29,90%</w:t>
            </w:r>
          </w:p>
        </w:tc>
        <w:tc>
          <w:tcPr>
            <w:tcW w:w="1843"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0,13</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Venituri fiscale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169.481,64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178.782,27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9.300,63</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5,49%</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15,39%</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15,17%</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-0,22</w:t>
            </w:r>
          </w:p>
        </w:tc>
      </w:tr>
      <w:tr w:rsidR="00166316" w:rsidRPr="00166316" w:rsidTr="00CF4281">
        <w:trPr>
          <w:trHeight w:val="491"/>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Impozitul pe profit, salarii, venit și câștiguri din capital</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47.495,56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51.648,64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4.153,08</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8,74%</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4,31%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4,38%</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0,07</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Impozitul pe profit</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17.972,44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19.237,33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1.264,89</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7,04%</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1,63%</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1,63%</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Impozitul pe salarii și venit</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25.873,76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28.519,02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2.645,26</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10,22%</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2,35%</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2,42%</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0,07</w:t>
            </w:r>
          </w:p>
        </w:tc>
      </w:tr>
      <w:tr w:rsidR="00166316" w:rsidRPr="00166316" w:rsidTr="00CF4281">
        <w:trPr>
          <w:trHeight w:val="290"/>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Alte impozite pe venit, profit și câștiguri din capital</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3.649,36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3.892,30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242,94</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6,66%</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0,33%</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0,33%</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Impozite și taxe pe proprietate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6.799,70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7.553,60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753,90</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11,09%</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0,62%</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0,64%</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0,02</w:t>
            </w:r>
          </w:p>
        </w:tc>
      </w:tr>
      <w:tr w:rsidR="00166316" w:rsidRPr="00166316" w:rsidTr="00CF4281">
        <w:trPr>
          <w:trHeight w:val="298"/>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Impozite și taxe pe bunuri și servicii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113.119,53</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117.354,67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4.235,15</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3,74%</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10,27%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9,96%</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-0,32</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TVA</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71.717,74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73.450,18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1.732,44</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2,42%</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6,51%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6,23%</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-0,28</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Accize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32.374,58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34.493,31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2.118,73</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6,54%</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2,94%</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2,93%</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-0,01</w:t>
            </w:r>
          </w:p>
        </w:tc>
      </w:tr>
      <w:tr w:rsidR="00166316" w:rsidRPr="00166316" w:rsidTr="00CF4281">
        <w:trPr>
          <w:trHeight w:val="308"/>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Alte impozite și taxe pe bunuri și servicii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4.660,17</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4.778,90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118,73</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2,55%</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0,42%</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0,41%</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-0,02</w:t>
            </w:r>
          </w:p>
        </w:tc>
      </w:tr>
      <w:tr w:rsidR="00166316" w:rsidRPr="00166316" w:rsidTr="00CF4281">
        <w:trPr>
          <w:trHeight w:val="414"/>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Taxa pe utilizarea bunurilor, autorizarea utilizării bunurilor sau pe desfășurarea de activități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4.367,03</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4.632,28</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265,25</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6,07%</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0,40%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0,39%</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92"/>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Impozitul pe comerțul exterior (taxe vamale)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1.246,58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1.355,03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108,45</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8,70%</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0,11%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0,11%</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Alte impozite și taxe fiscale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820,28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870,34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50,06</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6,10%</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0,07%</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Contribuții de asigurări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129.757,80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143.737,84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13.980,05</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10,77%</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11,79%</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12,20%</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0,41</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Venituri nefiscale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28.597,50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29.935,03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1.337,53</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4,68%</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2,60%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2,54%</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-0,06</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Venituri din capital</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1.037,04</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1.097,67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60,63</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5,85%</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0,09%</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0,09%</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Donații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2,58</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2,40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-0,18</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-6,94%</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491"/>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Sume de la UE în contul plăților efectuate și prefinanțări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1,29</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0,92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-0,37</w:t>
            </w:r>
          </w:p>
        </w:tc>
        <w:tc>
          <w:tcPr>
            <w:tcW w:w="1418"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-28,54%</w:t>
            </w:r>
          </w:p>
        </w:tc>
        <w:tc>
          <w:tcPr>
            <w:tcW w:w="1417"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421"/>
        </w:trPr>
        <w:tc>
          <w:tcPr>
            <w:tcW w:w="4395" w:type="dxa"/>
            <w:tcBorders>
              <w:top w:val="single" w:sz="6" w:space="0" w:color="DBE5F1" w:themeColor="accent1" w:themeTint="33"/>
              <w:left w:val="single" w:sz="8" w:space="0" w:color="auto"/>
              <w:bottom w:val="single" w:sz="4"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Sume încasate în contul unic, la bugetul de stat / in curs de distribuire</w:t>
            </w:r>
          </w:p>
        </w:tc>
        <w:tc>
          <w:tcPr>
            <w:tcW w:w="1701" w:type="dxa"/>
            <w:tcBorders>
              <w:top w:val="single" w:sz="6" w:space="0" w:color="DBE5F1" w:themeColor="accent1" w:themeTint="33"/>
              <w:left w:val="nil"/>
              <w:bottom w:val="single" w:sz="4"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559" w:type="dxa"/>
            <w:tcBorders>
              <w:top w:val="single" w:sz="6" w:space="0" w:color="DBE5F1" w:themeColor="accent1" w:themeTint="33"/>
              <w:left w:val="nil"/>
              <w:bottom w:val="single" w:sz="4"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701" w:type="dxa"/>
            <w:tcBorders>
              <w:top w:val="single" w:sz="6" w:space="0" w:color="DBE5F1" w:themeColor="accent1" w:themeTint="33"/>
              <w:left w:val="nil"/>
              <w:bottom w:val="single" w:sz="4"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418" w:type="dxa"/>
            <w:tcBorders>
              <w:top w:val="single" w:sz="6" w:space="0" w:color="DBE5F1" w:themeColor="accent1" w:themeTint="33"/>
              <w:left w:val="nil"/>
              <w:bottom w:val="single" w:sz="4"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p>
        </w:tc>
        <w:tc>
          <w:tcPr>
            <w:tcW w:w="1417" w:type="dxa"/>
            <w:tcBorders>
              <w:top w:val="single" w:sz="6" w:space="0" w:color="DBE5F1" w:themeColor="accent1" w:themeTint="33"/>
              <w:left w:val="nil"/>
              <w:bottom w:val="single" w:sz="4"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134" w:type="dxa"/>
            <w:tcBorders>
              <w:top w:val="single" w:sz="6" w:space="0" w:color="DBE5F1" w:themeColor="accent1" w:themeTint="33"/>
              <w:left w:val="nil"/>
              <w:bottom w:val="single" w:sz="4"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843" w:type="dxa"/>
            <w:tcBorders>
              <w:top w:val="single" w:sz="6" w:space="0" w:color="DBE5F1" w:themeColor="accent1" w:themeTint="33"/>
              <w:left w:val="nil"/>
              <w:bottom w:val="single" w:sz="4"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bl>
    <w:p w:rsidR="00166316" w:rsidRPr="00166316" w:rsidRDefault="00166316" w:rsidP="00166316"/>
    <w:tbl>
      <w:tblPr>
        <w:tblW w:w="15168" w:type="dxa"/>
        <w:tblInd w:w="-294" w:type="dxa"/>
        <w:tblLook w:val="04A0" w:firstRow="1" w:lastRow="0" w:firstColumn="1" w:lastColumn="0" w:noHBand="0" w:noVBand="1"/>
      </w:tblPr>
      <w:tblGrid>
        <w:gridCol w:w="4395"/>
        <w:gridCol w:w="1701"/>
        <w:gridCol w:w="1559"/>
        <w:gridCol w:w="1701"/>
        <w:gridCol w:w="1560"/>
        <w:gridCol w:w="1275"/>
        <w:gridCol w:w="1134"/>
        <w:gridCol w:w="1843"/>
      </w:tblGrid>
      <w:tr w:rsidR="00166316" w:rsidRPr="00166316" w:rsidTr="00CF4281">
        <w:trPr>
          <w:trHeight w:val="830"/>
        </w:trPr>
        <w:tc>
          <w:tcPr>
            <w:tcW w:w="4395" w:type="dxa"/>
            <w:vMerge w:val="restart"/>
            <w:tcBorders>
              <w:top w:val="single" w:sz="8" w:space="0" w:color="auto"/>
              <w:left w:val="single" w:sz="8" w:space="0" w:color="auto"/>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4"/>
                <w:szCs w:val="24"/>
              </w:rPr>
            </w:pPr>
            <w:r w:rsidRPr="00166316">
              <w:rPr>
                <w:rFonts w:ascii="Calibri" w:eastAsia="Times New Roman" w:hAnsi="Calibri" w:cs="Calibri"/>
                <w:b/>
                <w:bCs/>
                <w:color w:val="FFFFFF"/>
                <w:sz w:val="24"/>
                <w:szCs w:val="24"/>
              </w:rPr>
              <w:t>Anexa nr. 5 – Evoluția agregatelor bugetare în perioada 2020 – 2021 (continuare)</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2020 (mil. lei)</w:t>
            </w:r>
          </w:p>
        </w:tc>
        <w:tc>
          <w:tcPr>
            <w:tcW w:w="1559"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(mil.lei)</w:t>
            </w:r>
          </w:p>
        </w:tc>
        <w:tc>
          <w:tcPr>
            <w:tcW w:w="1701"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2021-Proiecție SFB 2020 (mil. lei)</w:t>
            </w:r>
          </w:p>
        </w:tc>
        <w:tc>
          <w:tcPr>
            <w:tcW w:w="1560"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 Proiecție SFB 2020 (%)</w:t>
            </w:r>
          </w:p>
        </w:tc>
        <w:tc>
          <w:tcPr>
            <w:tcW w:w="1275"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2020 (% din PIB)</w:t>
            </w:r>
          </w:p>
        </w:tc>
        <w:tc>
          <w:tcPr>
            <w:tcW w:w="1134" w:type="dxa"/>
            <w:tcBorders>
              <w:top w:val="single" w:sz="8" w:space="0" w:color="auto"/>
              <w:left w:val="nil"/>
              <w:bottom w:val="single" w:sz="8" w:space="0" w:color="auto"/>
              <w:right w:val="nil"/>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 din PIB)</w:t>
            </w:r>
          </w:p>
        </w:tc>
        <w:tc>
          <w:tcPr>
            <w:tcW w:w="1843" w:type="dxa"/>
            <w:tcBorders>
              <w:top w:val="single" w:sz="8" w:space="0" w:color="auto"/>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20"/>
                <w:szCs w:val="20"/>
              </w:rPr>
            </w:pPr>
            <w:r w:rsidRPr="00166316">
              <w:rPr>
                <w:rFonts w:ascii="Calibri" w:eastAsia="Times New Roman" w:hAnsi="Calibri" w:cs="Calibri"/>
                <w:b/>
                <w:bCs/>
                <w:color w:val="FFFFFF"/>
                <w:sz w:val="20"/>
                <w:szCs w:val="20"/>
              </w:rPr>
              <w:t>Proiecție SFB 2021 - Proiecție SFB 2020 (% din PIB)</w:t>
            </w:r>
          </w:p>
        </w:tc>
      </w:tr>
      <w:tr w:rsidR="00166316" w:rsidRPr="00166316" w:rsidTr="00CF4281">
        <w:trPr>
          <w:trHeight w:val="275"/>
        </w:trPr>
        <w:tc>
          <w:tcPr>
            <w:tcW w:w="4395" w:type="dxa"/>
            <w:vMerge/>
            <w:tcBorders>
              <w:top w:val="single" w:sz="8" w:space="0" w:color="auto"/>
              <w:left w:val="single" w:sz="8" w:space="0" w:color="auto"/>
              <w:bottom w:val="single" w:sz="8" w:space="0" w:color="auto"/>
              <w:right w:val="single" w:sz="8" w:space="0" w:color="auto"/>
            </w:tcBorders>
            <w:vAlign w:val="center"/>
            <w:hideMark/>
          </w:tcPr>
          <w:p w:rsidR="00166316" w:rsidRPr="00166316" w:rsidRDefault="00166316" w:rsidP="00CF4281">
            <w:pPr>
              <w:spacing w:after="0" w:line="240" w:lineRule="auto"/>
              <w:rPr>
                <w:rFonts w:ascii="Calibri" w:eastAsia="Times New Roman" w:hAnsi="Calibri" w:cs="Calibri"/>
                <w:b/>
                <w:bCs/>
                <w:color w:val="FFFFFF"/>
              </w:rPr>
            </w:pP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1</w:t>
            </w:r>
          </w:p>
        </w:tc>
        <w:tc>
          <w:tcPr>
            <w:tcW w:w="1559"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2</w:t>
            </w:r>
          </w:p>
        </w:tc>
        <w:tc>
          <w:tcPr>
            <w:tcW w:w="1701"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3 = 2-1</w:t>
            </w:r>
          </w:p>
        </w:tc>
        <w:tc>
          <w:tcPr>
            <w:tcW w:w="1560" w:type="dxa"/>
            <w:tcBorders>
              <w:top w:val="nil"/>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4 =3/1</w:t>
            </w:r>
          </w:p>
        </w:tc>
        <w:tc>
          <w:tcPr>
            <w:tcW w:w="1275"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5</w:t>
            </w:r>
          </w:p>
        </w:tc>
        <w:tc>
          <w:tcPr>
            <w:tcW w:w="1134" w:type="dxa"/>
            <w:tcBorders>
              <w:top w:val="nil"/>
              <w:left w:val="nil"/>
              <w:bottom w:val="single" w:sz="8" w:space="0" w:color="auto"/>
              <w:right w:val="nil"/>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6</w:t>
            </w:r>
          </w:p>
        </w:tc>
        <w:tc>
          <w:tcPr>
            <w:tcW w:w="1843" w:type="dxa"/>
            <w:tcBorders>
              <w:top w:val="nil"/>
              <w:left w:val="nil"/>
              <w:bottom w:val="single" w:sz="8" w:space="0" w:color="auto"/>
              <w:right w:val="single" w:sz="8" w:space="0" w:color="auto"/>
            </w:tcBorders>
            <w:shd w:val="clear" w:color="000000" w:fill="0070C0"/>
            <w:noWrap/>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7 = 6-5</w:t>
            </w:r>
          </w:p>
        </w:tc>
      </w:tr>
      <w:tr w:rsidR="00166316" w:rsidRPr="00166316" w:rsidTr="00CF4281">
        <w:trPr>
          <w:trHeight w:val="534"/>
        </w:trPr>
        <w:tc>
          <w:tcPr>
            <w:tcW w:w="4395"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Alte sume primite de la UE pentru programele operaționale finanțate in cadrul obiectivului convergență</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559"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560"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p>
        </w:tc>
        <w:tc>
          <w:tcPr>
            <w:tcW w:w="1275"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13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843"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620"/>
        </w:trPr>
        <w:tc>
          <w:tcPr>
            <w:tcW w:w="4395" w:type="dxa"/>
            <w:tcBorders>
              <w:top w:val="single" w:sz="6" w:space="0" w:color="DBE5F1" w:themeColor="accent1" w:themeTint="33"/>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Sume primite de la UE/alți donatori in contul plăților efectuate si prefinanțări aferente cadrului financiar 2014-2020</w:t>
            </w:r>
          </w:p>
        </w:tc>
        <w:tc>
          <w:tcPr>
            <w:tcW w:w="1701"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25.932,05</w:t>
            </w:r>
          </w:p>
        </w:tc>
        <w:tc>
          <w:tcPr>
            <w:tcW w:w="1559"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23.290,88</w:t>
            </w:r>
          </w:p>
        </w:tc>
        <w:tc>
          <w:tcPr>
            <w:tcW w:w="1701"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-2.641,17</w:t>
            </w:r>
          </w:p>
        </w:tc>
        <w:tc>
          <w:tcPr>
            <w:tcW w:w="1560"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-10,18%</w:t>
            </w:r>
          </w:p>
        </w:tc>
        <w:tc>
          <w:tcPr>
            <w:tcW w:w="1275"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2,36%</w:t>
            </w:r>
          </w:p>
        </w:tc>
        <w:tc>
          <w:tcPr>
            <w:tcW w:w="1134"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1,98%</w:t>
            </w:r>
          </w:p>
        </w:tc>
        <w:tc>
          <w:tcPr>
            <w:tcW w:w="1843"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-0,38</w:t>
            </w:r>
          </w:p>
        </w:tc>
      </w:tr>
      <w:tr w:rsidR="00166316" w:rsidRPr="00166316" w:rsidTr="00CF4281">
        <w:trPr>
          <w:trHeight w:val="278"/>
        </w:trPr>
        <w:tc>
          <w:tcPr>
            <w:tcW w:w="4395"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CHELTUIELI TOTALE</w:t>
            </w:r>
          </w:p>
        </w:tc>
        <w:tc>
          <w:tcPr>
            <w:tcW w:w="1701"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377.876,47</w:t>
            </w:r>
          </w:p>
        </w:tc>
        <w:tc>
          <w:tcPr>
            <w:tcW w:w="1559"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397.943,41</w:t>
            </w:r>
          </w:p>
        </w:tc>
        <w:tc>
          <w:tcPr>
            <w:tcW w:w="1701"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20.066,94</w:t>
            </w:r>
          </w:p>
        </w:tc>
        <w:tc>
          <w:tcPr>
            <w:tcW w:w="1560"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5,31%</w:t>
            </w:r>
          </w:p>
        </w:tc>
        <w:tc>
          <w:tcPr>
            <w:tcW w:w="1275"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34,32%</w:t>
            </w:r>
          </w:p>
        </w:tc>
        <w:tc>
          <w:tcPr>
            <w:tcW w:w="1134"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33,76%</w:t>
            </w:r>
          </w:p>
        </w:tc>
        <w:tc>
          <w:tcPr>
            <w:tcW w:w="1843"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-0,56</w:t>
            </w:r>
          </w:p>
        </w:tc>
      </w:tr>
      <w:tr w:rsidR="00166316" w:rsidRPr="00166316" w:rsidTr="00CF4281">
        <w:trPr>
          <w:trHeight w:val="269"/>
        </w:trPr>
        <w:tc>
          <w:tcPr>
            <w:tcW w:w="4395" w:type="dxa"/>
            <w:tcBorders>
              <w:top w:val="single" w:sz="8" w:space="0" w:color="auto"/>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Cheltuieli curente</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356.206,50</w:t>
            </w:r>
          </w:p>
        </w:tc>
        <w:tc>
          <w:tcPr>
            <w:tcW w:w="1559"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372.689,98</w:t>
            </w:r>
          </w:p>
        </w:tc>
        <w:tc>
          <w:tcPr>
            <w:tcW w:w="1701"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16.483,48</w:t>
            </w:r>
          </w:p>
        </w:tc>
        <w:tc>
          <w:tcPr>
            <w:tcW w:w="1560"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4,63%</w:t>
            </w:r>
          </w:p>
        </w:tc>
        <w:tc>
          <w:tcPr>
            <w:tcW w:w="1275"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32,35%</w:t>
            </w:r>
          </w:p>
        </w:tc>
        <w:tc>
          <w:tcPr>
            <w:tcW w:w="1134" w:type="dxa"/>
            <w:tcBorders>
              <w:top w:val="single" w:sz="8" w:space="0" w:color="auto"/>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31,62%</w:t>
            </w:r>
          </w:p>
        </w:tc>
        <w:tc>
          <w:tcPr>
            <w:tcW w:w="1843" w:type="dxa"/>
            <w:tcBorders>
              <w:top w:val="single" w:sz="8" w:space="0" w:color="auto"/>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-0,73</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Cheltuieli de personal</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106.587,75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110.387,90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3.800,14</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3,57%</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9,68%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9,37%</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-0,31</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Bunuri și servicii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47.368,55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54.223,34</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6.854,79</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14,47%</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4,30%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4,60%</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0,30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Dobânzi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13.989,16</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14.349,59</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360,42</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2,58%</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1,22%</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-0,05</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Subvenții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7.437,91</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7.629,53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191,62</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2,58%</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0,68%</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0,65%</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-0,03</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Transferuri - Total</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180.117,39</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185.181,93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5.064,54</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2,81%</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16,36%</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15,71%</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-0,65</w:t>
            </w:r>
          </w:p>
        </w:tc>
      </w:tr>
      <w:tr w:rsidR="00166316" w:rsidRPr="00166316" w:rsidTr="00CF4281">
        <w:trPr>
          <w:trHeight w:val="332"/>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Transferuri între unități ale administrației publice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2.646,51</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2.726,51</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80,00</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3,02%</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0,24%</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0,23%</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-0,01</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Alte transferuri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16.371,12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16.738,22</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367,10</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2,24%</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1,49%</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1,42%</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-0,07</w:t>
            </w:r>
          </w:p>
        </w:tc>
      </w:tr>
      <w:tr w:rsidR="00166316" w:rsidRPr="00166316" w:rsidTr="00CF4281">
        <w:trPr>
          <w:trHeight w:val="463"/>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Proiecte cu finanțare din fonduri externe nerambursabile</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84,05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56,16</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-27,89</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-33,18%</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Asistență socială</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124.124,03</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132.565,90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8.441,87</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6,80%</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11,27%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11,25%</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-0,03</w:t>
            </w:r>
          </w:p>
        </w:tc>
      </w:tr>
      <w:tr w:rsidR="00166316" w:rsidRPr="00166316" w:rsidTr="00055C32">
        <w:trPr>
          <w:trHeight w:val="407"/>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Proiecte cu finanțare din fonduri externe nerambursabile postaderare 2014-2020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30.828,12</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26.884,76</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-3.943,36</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-12,79%</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2,80%</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2,28%</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-0,52</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sz w:val="18"/>
                <w:szCs w:val="18"/>
              </w:rPr>
            </w:pPr>
            <w:r w:rsidRPr="00166316">
              <w:rPr>
                <w:rFonts w:ascii="Arial" w:eastAsia="Times New Roman" w:hAnsi="Arial" w:cs="Arial"/>
                <w:sz w:val="18"/>
                <w:szCs w:val="18"/>
              </w:rPr>
              <w:t>Alte cheltuieli</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6.063,55</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6.210,37</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146,82</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2,42%</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0,55%</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0,53%</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-0,02</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Fonduri de rezervă</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100,00</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100,00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0,01%</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0,01%</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482"/>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Cheltuieli aferente programelor cu finanțare rambursabilă</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605,73</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817,70</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211,97</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34,99%</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0,06%</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0,07%</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0,01</w:t>
            </w:r>
          </w:p>
        </w:tc>
      </w:tr>
      <w:tr w:rsidR="00166316" w:rsidRPr="00166316" w:rsidTr="00CF4281">
        <w:trPr>
          <w:trHeight w:val="269"/>
        </w:trPr>
        <w:tc>
          <w:tcPr>
            <w:tcW w:w="4395" w:type="dxa"/>
            <w:tcBorders>
              <w:top w:val="single" w:sz="6" w:space="0" w:color="DBE5F1" w:themeColor="accent1" w:themeTint="33"/>
              <w:left w:val="single" w:sz="8" w:space="0" w:color="auto"/>
              <w:bottom w:val="single" w:sz="6" w:space="0" w:color="DBE5F1" w:themeColor="accent1" w:themeTint="33"/>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Cheltuieli de capital</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21.669,97</w:t>
            </w:r>
          </w:p>
        </w:tc>
        <w:tc>
          <w:tcPr>
            <w:tcW w:w="1559"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25.253,43</w:t>
            </w:r>
          </w:p>
        </w:tc>
        <w:tc>
          <w:tcPr>
            <w:tcW w:w="1701"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3.583,46</w:t>
            </w:r>
          </w:p>
        </w:tc>
        <w:tc>
          <w:tcPr>
            <w:tcW w:w="1560"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16,54%</w:t>
            </w:r>
          </w:p>
        </w:tc>
        <w:tc>
          <w:tcPr>
            <w:tcW w:w="1275"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1,97%</w:t>
            </w:r>
          </w:p>
        </w:tc>
        <w:tc>
          <w:tcPr>
            <w:tcW w:w="1134" w:type="dxa"/>
            <w:tcBorders>
              <w:top w:val="single" w:sz="6" w:space="0" w:color="DBE5F1" w:themeColor="accent1" w:themeTint="33"/>
              <w:left w:val="nil"/>
              <w:bottom w:val="single" w:sz="6" w:space="0" w:color="DBE5F1" w:themeColor="accent1" w:themeTint="33"/>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2,14%</w:t>
            </w:r>
          </w:p>
        </w:tc>
        <w:tc>
          <w:tcPr>
            <w:tcW w:w="1843" w:type="dxa"/>
            <w:tcBorders>
              <w:top w:val="single" w:sz="6" w:space="0" w:color="DBE5F1" w:themeColor="accent1" w:themeTint="33"/>
              <w:left w:val="nil"/>
              <w:bottom w:val="single" w:sz="6" w:space="0" w:color="DBE5F1" w:themeColor="accent1" w:themeTint="33"/>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0,17</w:t>
            </w:r>
          </w:p>
        </w:tc>
      </w:tr>
      <w:tr w:rsidR="00166316" w:rsidRPr="00166316" w:rsidTr="00CF4281">
        <w:trPr>
          <w:trHeight w:val="379"/>
        </w:trPr>
        <w:tc>
          <w:tcPr>
            <w:tcW w:w="4395" w:type="dxa"/>
            <w:tcBorders>
              <w:top w:val="single" w:sz="6" w:space="0" w:color="DBE5F1" w:themeColor="accent1" w:themeTint="33"/>
              <w:left w:val="single" w:sz="8" w:space="0" w:color="auto"/>
              <w:bottom w:val="single" w:sz="8" w:space="0" w:color="auto"/>
              <w:right w:val="single" w:sz="8" w:space="0" w:color="auto"/>
            </w:tcBorders>
            <w:shd w:val="clear" w:color="auto" w:fill="auto"/>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t>Plăți efectuate în anii precedenți și recuperate în anul curent</w:t>
            </w:r>
          </w:p>
        </w:tc>
        <w:tc>
          <w:tcPr>
            <w:tcW w:w="1701"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559"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701"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560"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275"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134" w:type="dxa"/>
            <w:tcBorders>
              <w:top w:val="single" w:sz="6" w:space="0" w:color="DBE5F1" w:themeColor="accent1" w:themeTint="33"/>
              <w:left w:val="nil"/>
              <w:bottom w:val="single" w:sz="8" w:space="0" w:color="auto"/>
              <w:right w:val="nil"/>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c>
          <w:tcPr>
            <w:tcW w:w="1843" w:type="dxa"/>
            <w:tcBorders>
              <w:top w:val="single" w:sz="6" w:space="0" w:color="DBE5F1" w:themeColor="accent1" w:themeTint="33"/>
              <w:left w:val="nil"/>
              <w:bottom w:val="single" w:sz="8" w:space="0" w:color="auto"/>
              <w:right w:val="single" w:sz="8" w:space="0" w:color="auto"/>
            </w:tcBorders>
            <w:shd w:val="clear" w:color="auto" w:fill="auto"/>
            <w:noWrap/>
            <w:vAlign w:val="center"/>
            <w:hideMark/>
          </w:tcPr>
          <w:p w:rsidR="00166316" w:rsidRPr="00166316" w:rsidRDefault="00166316" w:rsidP="00CF4281">
            <w:pPr>
              <w:spacing w:after="0" w:line="240" w:lineRule="auto"/>
              <w:jc w:val="center"/>
              <w:rPr>
                <w:rFonts w:ascii="Arial" w:eastAsia="Times New Roman" w:hAnsi="Arial" w:cs="Arial"/>
                <w:sz w:val="18"/>
                <w:szCs w:val="18"/>
              </w:rPr>
            </w:pPr>
            <w:r w:rsidRPr="00166316">
              <w:rPr>
                <w:rFonts w:ascii="Arial" w:eastAsia="Times New Roman" w:hAnsi="Arial" w:cs="Arial"/>
                <w:sz w:val="18"/>
                <w:szCs w:val="18"/>
              </w:rPr>
              <w:t>0,00</w:t>
            </w:r>
          </w:p>
        </w:tc>
      </w:tr>
      <w:tr w:rsidR="00166316" w:rsidRPr="00166316" w:rsidTr="00CF4281">
        <w:trPr>
          <w:trHeight w:val="278"/>
        </w:trPr>
        <w:tc>
          <w:tcPr>
            <w:tcW w:w="4395"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166316" w:rsidRPr="00166316" w:rsidRDefault="00166316" w:rsidP="00CF4281">
            <w:pPr>
              <w:spacing w:after="0" w:line="240" w:lineRule="auto"/>
              <w:jc w:val="both"/>
              <w:rPr>
                <w:rFonts w:ascii="Arial" w:eastAsia="Times New Roman" w:hAnsi="Arial" w:cs="Arial"/>
                <w:b/>
                <w:bCs/>
                <w:sz w:val="18"/>
                <w:szCs w:val="18"/>
              </w:rPr>
            </w:pPr>
            <w:r w:rsidRPr="00166316">
              <w:rPr>
                <w:rFonts w:ascii="Arial" w:eastAsia="Times New Roman" w:hAnsi="Arial" w:cs="Arial"/>
                <w:b/>
                <w:bCs/>
                <w:sz w:val="18"/>
                <w:szCs w:val="18"/>
              </w:rPr>
              <w:lastRenderedPageBreak/>
              <w:t>EXCEDENT(+) / DEFICIT(-)</w:t>
            </w:r>
          </w:p>
        </w:tc>
        <w:tc>
          <w:tcPr>
            <w:tcW w:w="1701"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-23.066,56</w:t>
            </w:r>
          </w:p>
        </w:tc>
        <w:tc>
          <w:tcPr>
            <w:tcW w:w="1559"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-21.096,38</w:t>
            </w:r>
          </w:p>
        </w:tc>
        <w:tc>
          <w:tcPr>
            <w:tcW w:w="1701"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1.970,18</w:t>
            </w:r>
          </w:p>
        </w:tc>
        <w:tc>
          <w:tcPr>
            <w:tcW w:w="1560"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-8,54%</w:t>
            </w:r>
          </w:p>
        </w:tc>
        <w:tc>
          <w:tcPr>
            <w:tcW w:w="1275"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-2,10%</w:t>
            </w:r>
          </w:p>
        </w:tc>
        <w:tc>
          <w:tcPr>
            <w:tcW w:w="1134"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-1,79%</w:t>
            </w:r>
          </w:p>
        </w:tc>
        <w:tc>
          <w:tcPr>
            <w:tcW w:w="1843" w:type="dxa"/>
            <w:tcBorders>
              <w:top w:val="single" w:sz="8" w:space="0" w:color="auto"/>
              <w:left w:val="nil"/>
              <w:bottom w:val="single" w:sz="8" w:space="0" w:color="auto"/>
              <w:right w:val="single" w:sz="8" w:space="0" w:color="auto"/>
            </w:tcBorders>
            <w:shd w:val="clear" w:color="000000" w:fill="ACB9CA"/>
            <w:noWrap/>
            <w:vAlign w:val="center"/>
            <w:hideMark/>
          </w:tcPr>
          <w:p w:rsidR="00166316" w:rsidRPr="00166316" w:rsidRDefault="00166316" w:rsidP="00CF4281">
            <w:pPr>
              <w:spacing w:after="0" w:line="240" w:lineRule="auto"/>
              <w:jc w:val="center"/>
              <w:rPr>
                <w:rFonts w:ascii="Arial" w:eastAsia="Times New Roman" w:hAnsi="Arial" w:cs="Arial"/>
                <w:b/>
                <w:bCs/>
                <w:sz w:val="18"/>
                <w:szCs w:val="18"/>
              </w:rPr>
            </w:pPr>
            <w:r w:rsidRPr="00166316">
              <w:rPr>
                <w:rFonts w:ascii="Arial" w:eastAsia="Times New Roman" w:hAnsi="Arial" w:cs="Arial"/>
                <w:b/>
                <w:bCs/>
                <w:sz w:val="18"/>
                <w:szCs w:val="18"/>
              </w:rPr>
              <w:t>0,31</w:t>
            </w:r>
          </w:p>
        </w:tc>
      </w:tr>
    </w:tbl>
    <w:p w:rsidR="00166316" w:rsidRPr="00166316" w:rsidRDefault="00166316" w:rsidP="00166316">
      <w:pPr>
        <w:jc w:val="center"/>
        <w:rPr>
          <w:i/>
          <w:sz w:val="24"/>
          <w:szCs w:val="24"/>
        </w:rPr>
      </w:pPr>
      <w:r w:rsidRPr="00166316">
        <w:rPr>
          <w:sz w:val="24"/>
          <w:szCs w:val="24"/>
        </w:rPr>
        <w:t xml:space="preserve">Sursa: </w:t>
      </w:r>
      <w:r w:rsidRPr="00166316">
        <w:rPr>
          <w:i/>
          <w:sz w:val="24"/>
          <w:szCs w:val="24"/>
        </w:rPr>
        <w:t>Ministerul Finanțelor Publice, calcule Consiliul fiscal</w:t>
      </w:r>
    </w:p>
    <w:tbl>
      <w:tblPr>
        <w:tblpPr w:leftFromText="180" w:rightFromText="180" w:horzAnchor="page" w:tblpX="133" w:tblpY="-251"/>
        <w:tblW w:w="16575" w:type="dxa"/>
        <w:tblLayout w:type="fixed"/>
        <w:tblLook w:val="04A0" w:firstRow="1" w:lastRow="0" w:firstColumn="1" w:lastColumn="0" w:noHBand="0" w:noVBand="1"/>
      </w:tblPr>
      <w:tblGrid>
        <w:gridCol w:w="1408"/>
        <w:gridCol w:w="992"/>
        <w:gridCol w:w="1134"/>
        <w:gridCol w:w="992"/>
        <w:gridCol w:w="1134"/>
        <w:gridCol w:w="1134"/>
        <w:gridCol w:w="993"/>
        <w:gridCol w:w="1134"/>
        <w:gridCol w:w="1134"/>
        <w:gridCol w:w="850"/>
        <w:gridCol w:w="1134"/>
        <w:gridCol w:w="969"/>
        <w:gridCol w:w="23"/>
        <w:gridCol w:w="851"/>
        <w:gridCol w:w="992"/>
        <w:gridCol w:w="992"/>
        <w:gridCol w:w="709"/>
      </w:tblGrid>
      <w:tr w:rsidR="00166316" w:rsidRPr="00166316" w:rsidTr="00CF4281">
        <w:trPr>
          <w:trHeight w:val="281"/>
        </w:trPr>
        <w:tc>
          <w:tcPr>
            <w:tcW w:w="1408" w:type="dxa"/>
            <w:vMerge w:val="restart"/>
            <w:tcBorders>
              <w:top w:val="single" w:sz="8" w:space="0" w:color="auto"/>
              <w:left w:val="single" w:sz="8" w:space="0" w:color="auto"/>
              <w:bottom w:val="single" w:sz="8" w:space="0" w:color="000000"/>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rPr>
            </w:pPr>
            <w:r w:rsidRPr="00166316">
              <w:rPr>
                <w:rFonts w:ascii="Calibri" w:eastAsia="Times New Roman" w:hAnsi="Calibri" w:cs="Calibri"/>
                <w:b/>
                <w:bCs/>
                <w:color w:val="FFFFFF"/>
              </w:rPr>
              <w:t>Anexa nr. 6 - FONDURI UE</w:t>
            </w:r>
          </w:p>
        </w:tc>
        <w:tc>
          <w:tcPr>
            <w:tcW w:w="3118" w:type="dxa"/>
            <w:gridSpan w:val="3"/>
            <w:tcBorders>
              <w:top w:val="single" w:sz="8" w:space="0" w:color="auto"/>
              <w:left w:val="nil"/>
              <w:bottom w:val="single" w:sz="4" w:space="0" w:color="auto"/>
              <w:right w:val="single" w:sz="4" w:space="0" w:color="000000"/>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 xml:space="preserve"> 2018 (mil lei)</w:t>
            </w:r>
          </w:p>
        </w:tc>
        <w:tc>
          <w:tcPr>
            <w:tcW w:w="3261" w:type="dxa"/>
            <w:gridSpan w:val="3"/>
            <w:tcBorders>
              <w:top w:val="single" w:sz="8" w:space="0" w:color="auto"/>
              <w:left w:val="nil"/>
              <w:bottom w:val="single" w:sz="4" w:space="0" w:color="auto"/>
              <w:right w:val="single" w:sz="4" w:space="0" w:color="000000"/>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2019 (mil. lei)</w:t>
            </w:r>
          </w:p>
        </w:tc>
        <w:tc>
          <w:tcPr>
            <w:tcW w:w="3118" w:type="dxa"/>
            <w:gridSpan w:val="3"/>
            <w:tcBorders>
              <w:top w:val="single" w:sz="8" w:space="0" w:color="auto"/>
              <w:left w:val="nil"/>
              <w:bottom w:val="single" w:sz="4" w:space="0" w:color="auto"/>
              <w:right w:val="single" w:sz="4" w:space="0" w:color="000000"/>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2020 (mil. lei)</w:t>
            </w:r>
          </w:p>
        </w:tc>
        <w:tc>
          <w:tcPr>
            <w:tcW w:w="2977" w:type="dxa"/>
            <w:gridSpan w:val="4"/>
            <w:tcBorders>
              <w:top w:val="single" w:sz="8" w:space="0" w:color="auto"/>
              <w:left w:val="nil"/>
              <w:bottom w:val="single" w:sz="4" w:space="0" w:color="auto"/>
              <w:right w:val="single" w:sz="4" w:space="0" w:color="000000"/>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2021 (mil. lei)</w:t>
            </w:r>
          </w:p>
        </w:tc>
        <w:tc>
          <w:tcPr>
            <w:tcW w:w="2693" w:type="dxa"/>
            <w:gridSpan w:val="3"/>
            <w:tcBorders>
              <w:top w:val="single" w:sz="8" w:space="0" w:color="auto"/>
              <w:left w:val="nil"/>
              <w:bottom w:val="single" w:sz="4"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2022 (mil. lei)</w:t>
            </w:r>
          </w:p>
        </w:tc>
      </w:tr>
      <w:tr w:rsidR="00166316" w:rsidRPr="00166316" w:rsidTr="00CF4281">
        <w:trPr>
          <w:trHeight w:val="1417"/>
        </w:trPr>
        <w:tc>
          <w:tcPr>
            <w:tcW w:w="1408" w:type="dxa"/>
            <w:vMerge/>
            <w:tcBorders>
              <w:top w:val="single" w:sz="8" w:space="0" w:color="auto"/>
              <w:left w:val="single" w:sz="8" w:space="0" w:color="auto"/>
              <w:bottom w:val="single" w:sz="8" w:space="0" w:color="000000"/>
              <w:right w:val="single" w:sz="4" w:space="0" w:color="auto"/>
            </w:tcBorders>
            <w:vAlign w:val="center"/>
            <w:hideMark/>
          </w:tcPr>
          <w:p w:rsidR="00166316" w:rsidRPr="00166316" w:rsidRDefault="00166316" w:rsidP="00CF4281">
            <w:pPr>
              <w:spacing w:after="0" w:line="240" w:lineRule="auto"/>
              <w:rPr>
                <w:rFonts w:ascii="Calibri" w:eastAsia="Times New Roman" w:hAnsi="Calibri" w:cs="Calibri"/>
                <w:b/>
                <w:bCs/>
                <w:color w:val="FFFFFF"/>
                <w:sz w:val="18"/>
                <w:szCs w:val="18"/>
              </w:rPr>
            </w:pPr>
          </w:p>
        </w:tc>
        <w:tc>
          <w:tcPr>
            <w:tcW w:w="992" w:type="dxa"/>
            <w:tcBorders>
              <w:top w:val="nil"/>
              <w:left w:val="nil"/>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Structurale</w:t>
            </w:r>
          </w:p>
        </w:tc>
        <w:tc>
          <w:tcPr>
            <w:tcW w:w="1134" w:type="dxa"/>
            <w:tcBorders>
              <w:top w:val="nil"/>
              <w:left w:val="nil"/>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Agricultură</w:t>
            </w:r>
          </w:p>
        </w:tc>
        <w:tc>
          <w:tcPr>
            <w:tcW w:w="992"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Sume potrivit art. 10 lit. a) din OUG nr. 40/2015</w:t>
            </w:r>
          </w:p>
        </w:tc>
        <w:tc>
          <w:tcPr>
            <w:tcW w:w="1134" w:type="dxa"/>
            <w:tcBorders>
              <w:top w:val="nil"/>
              <w:left w:val="single" w:sz="4" w:space="0" w:color="auto"/>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Structurale</w:t>
            </w:r>
          </w:p>
        </w:tc>
        <w:tc>
          <w:tcPr>
            <w:tcW w:w="1134" w:type="dxa"/>
            <w:tcBorders>
              <w:top w:val="nil"/>
              <w:left w:val="nil"/>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Agricultură</w:t>
            </w:r>
          </w:p>
        </w:tc>
        <w:tc>
          <w:tcPr>
            <w:tcW w:w="993"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Sume potrivit art. 10 lit. a) din OUG nr. 40/2015</w:t>
            </w:r>
          </w:p>
        </w:tc>
        <w:tc>
          <w:tcPr>
            <w:tcW w:w="1134" w:type="dxa"/>
            <w:tcBorders>
              <w:top w:val="nil"/>
              <w:left w:val="single" w:sz="4" w:space="0" w:color="auto"/>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Structurale</w:t>
            </w:r>
          </w:p>
        </w:tc>
        <w:tc>
          <w:tcPr>
            <w:tcW w:w="1134" w:type="dxa"/>
            <w:tcBorders>
              <w:top w:val="nil"/>
              <w:left w:val="nil"/>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Agricultură</w:t>
            </w:r>
          </w:p>
        </w:tc>
        <w:tc>
          <w:tcPr>
            <w:tcW w:w="850"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Sume potrivit art. 10 lit. a) din OUG nr. 40/2015</w:t>
            </w:r>
          </w:p>
        </w:tc>
        <w:tc>
          <w:tcPr>
            <w:tcW w:w="1134" w:type="dxa"/>
            <w:tcBorders>
              <w:top w:val="nil"/>
              <w:left w:val="single" w:sz="4" w:space="0" w:color="auto"/>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Structurale</w:t>
            </w:r>
          </w:p>
        </w:tc>
        <w:tc>
          <w:tcPr>
            <w:tcW w:w="969" w:type="dxa"/>
            <w:tcBorders>
              <w:top w:val="nil"/>
              <w:left w:val="nil"/>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Agricultură</w:t>
            </w:r>
          </w:p>
        </w:tc>
        <w:tc>
          <w:tcPr>
            <w:tcW w:w="874" w:type="dxa"/>
            <w:gridSpan w:val="2"/>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Sume potrivit art. 10 lit. a) din OUG nr. 40/2015</w:t>
            </w:r>
          </w:p>
        </w:tc>
        <w:tc>
          <w:tcPr>
            <w:tcW w:w="992" w:type="dxa"/>
            <w:tcBorders>
              <w:top w:val="nil"/>
              <w:left w:val="single" w:sz="4" w:space="0" w:color="auto"/>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Structurale</w:t>
            </w:r>
          </w:p>
        </w:tc>
        <w:tc>
          <w:tcPr>
            <w:tcW w:w="992" w:type="dxa"/>
            <w:tcBorders>
              <w:top w:val="nil"/>
              <w:left w:val="nil"/>
              <w:bottom w:val="single" w:sz="8" w:space="0" w:color="auto"/>
              <w:right w:val="single" w:sz="4"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Agricultură</w:t>
            </w:r>
          </w:p>
        </w:tc>
        <w:tc>
          <w:tcPr>
            <w:tcW w:w="709" w:type="dxa"/>
            <w:tcBorders>
              <w:top w:val="nil"/>
              <w:left w:val="nil"/>
              <w:bottom w:val="single" w:sz="8" w:space="0" w:color="auto"/>
              <w:right w:val="single" w:sz="8" w:space="0" w:color="auto"/>
            </w:tcBorders>
            <w:shd w:val="clear" w:color="000000" w:fill="0070C0"/>
            <w:vAlign w:val="center"/>
            <w:hideMark/>
          </w:tcPr>
          <w:p w:rsidR="00166316" w:rsidRPr="00166316" w:rsidRDefault="00166316" w:rsidP="00CF4281">
            <w:pPr>
              <w:spacing w:after="0" w:line="240" w:lineRule="auto"/>
              <w:jc w:val="center"/>
              <w:rPr>
                <w:rFonts w:ascii="Calibri" w:eastAsia="Times New Roman" w:hAnsi="Calibri" w:cs="Calibri"/>
                <w:b/>
                <w:bCs/>
                <w:color w:val="FFFFFF"/>
                <w:sz w:val="14"/>
                <w:szCs w:val="14"/>
              </w:rPr>
            </w:pPr>
            <w:r w:rsidRPr="00166316">
              <w:rPr>
                <w:rFonts w:ascii="Calibri" w:eastAsia="Times New Roman" w:hAnsi="Calibri" w:cs="Calibri"/>
                <w:b/>
                <w:bCs/>
                <w:color w:val="FFFFFF"/>
                <w:sz w:val="14"/>
                <w:szCs w:val="14"/>
              </w:rPr>
              <w:t>Sume potrivit art. 10 lit. a) din OUG nr. 40/2015</w:t>
            </w:r>
          </w:p>
        </w:tc>
      </w:tr>
      <w:tr w:rsidR="001A6DF6" w:rsidRPr="00166316" w:rsidTr="001A6DF6">
        <w:trPr>
          <w:trHeight w:val="281"/>
        </w:trPr>
        <w:tc>
          <w:tcPr>
            <w:tcW w:w="1408" w:type="dxa"/>
            <w:tcBorders>
              <w:top w:val="single" w:sz="4" w:space="0" w:color="0070C0"/>
              <w:left w:val="single" w:sz="8" w:space="0" w:color="auto"/>
              <w:bottom w:val="single" w:sz="4" w:space="0" w:color="0070C0"/>
              <w:right w:val="single" w:sz="4" w:space="0" w:color="0070C0"/>
            </w:tcBorders>
            <w:shd w:val="clear" w:color="auto" w:fill="auto"/>
            <w:vAlign w:val="center"/>
            <w:hideMark/>
          </w:tcPr>
          <w:p w:rsidR="001A6DF6" w:rsidRPr="00166316" w:rsidRDefault="001A6DF6" w:rsidP="001A6DF6">
            <w:pPr>
              <w:spacing w:after="0" w:line="240" w:lineRule="auto"/>
              <w:rPr>
                <w:rFonts w:ascii="Calibri" w:eastAsia="Times New Roman" w:hAnsi="Calibri" w:cs="Calibri"/>
                <w:color w:val="000000"/>
                <w:sz w:val="18"/>
                <w:szCs w:val="18"/>
              </w:rPr>
            </w:pPr>
            <w:r w:rsidRPr="00166316">
              <w:rPr>
                <w:rFonts w:ascii="Calibri" w:eastAsia="Times New Roman" w:hAnsi="Calibri" w:cs="Calibri"/>
                <w:color w:val="000000"/>
                <w:sz w:val="18"/>
                <w:szCs w:val="18"/>
              </w:rPr>
              <w:t>Venituri UE</w:t>
            </w:r>
          </w:p>
        </w:tc>
        <w:tc>
          <w:tcPr>
            <w:tcW w:w="992"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lang w:val="en-US"/>
              </w:rPr>
            </w:pPr>
            <w:r w:rsidRPr="001A6DF6">
              <w:rPr>
                <w:rFonts w:ascii="Calibri" w:hAnsi="Calibri" w:cs="Calibri"/>
                <w:color w:val="000000"/>
                <w:sz w:val="18"/>
                <w:szCs w:val="18"/>
              </w:rPr>
              <w:t>5.185,5</w:t>
            </w:r>
          </w:p>
        </w:tc>
        <w:tc>
          <w:tcPr>
            <w:tcW w:w="1134"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17.796,0</w:t>
            </w:r>
          </w:p>
        </w:tc>
        <w:tc>
          <w:tcPr>
            <w:tcW w:w="992"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3.096,2</w:t>
            </w:r>
          </w:p>
        </w:tc>
        <w:tc>
          <w:tcPr>
            <w:tcW w:w="1134"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15.073,5</w:t>
            </w:r>
          </w:p>
        </w:tc>
        <w:tc>
          <w:tcPr>
            <w:tcW w:w="1134"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17.264,9</w:t>
            </w:r>
          </w:p>
        </w:tc>
        <w:tc>
          <w:tcPr>
            <w:tcW w:w="993"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800,0</w:t>
            </w:r>
          </w:p>
        </w:tc>
        <w:tc>
          <w:tcPr>
            <w:tcW w:w="1134"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13.133,9</w:t>
            </w:r>
          </w:p>
        </w:tc>
        <w:tc>
          <w:tcPr>
            <w:tcW w:w="1134"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12.798,1</w:t>
            </w:r>
          </w:p>
        </w:tc>
        <w:tc>
          <w:tcPr>
            <w:tcW w:w="850"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232,1</w:t>
            </w:r>
          </w:p>
        </w:tc>
        <w:tc>
          <w:tcPr>
            <w:tcW w:w="1134"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10.812,9</w:t>
            </w:r>
          </w:p>
        </w:tc>
        <w:tc>
          <w:tcPr>
            <w:tcW w:w="992" w:type="dxa"/>
            <w:gridSpan w:val="2"/>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12.478,0</w:t>
            </w:r>
          </w:p>
        </w:tc>
        <w:tc>
          <w:tcPr>
            <w:tcW w:w="851"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232,1</w:t>
            </w:r>
          </w:p>
        </w:tc>
        <w:tc>
          <w:tcPr>
            <w:tcW w:w="992"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11.416,2</w:t>
            </w:r>
          </w:p>
        </w:tc>
        <w:tc>
          <w:tcPr>
            <w:tcW w:w="992" w:type="dxa"/>
            <w:tcBorders>
              <w:top w:val="single" w:sz="4" w:space="0" w:color="0070C0"/>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23.558,8</w:t>
            </w:r>
          </w:p>
        </w:tc>
        <w:tc>
          <w:tcPr>
            <w:tcW w:w="709" w:type="dxa"/>
            <w:tcBorders>
              <w:top w:val="single" w:sz="4" w:space="0" w:color="0070C0"/>
              <w:left w:val="nil"/>
              <w:bottom w:val="single" w:sz="4" w:space="0" w:color="0070C0"/>
              <w:right w:val="single" w:sz="8" w:space="0" w:color="auto"/>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232,1</w:t>
            </w:r>
          </w:p>
        </w:tc>
      </w:tr>
      <w:tr w:rsidR="001A6DF6" w:rsidRPr="00166316" w:rsidTr="001A6DF6">
        <w:trPr>
          <w:trHeight w:val="563"/>
        </w:trPr>
        <w:tc>
          <w:tcPr>
            <w:tcW w:w="1408" w:type="dxa"/>
            <w:tcBorders>
              <w:top w:val="nil"/>
              <w:left w:val="single" w:sz="8" w:space="0" w:color="auto"/>
              <w:bottom w:val="single" w:sz="4" w:space="0" w:color="0070C0"/>
              <w:right w:val="single" w:sz="4" w:space="0" w:color="0070C0"/>
            </w:tcBorders>
            <w:shd w:val="clear" w:color="auto" w:fill="auto"/>
            <w:vAlign w:val="center"/>
            <w:hideMark/>
          </w:tcPr>
          <w:p w:rsidR="001A6DF6" w:rsidRPr="00166316" w:rsidRDefault="001A6DF6" w:rsidP="001A6DF6">
            <w:pPr>
              <w:spacing w:after="0" w:line="240" w:lineRule="auto"/>
              <w:rPr>
                <w:rFonts w:ascii="Calibri" w:eastAsia="Times New Roman" w:hAnsi="Calibri" w:cs="Calibri"/>
                <w:color w:val="000000"/>
                <w:sz w:val="18"/>
                <w:szCs w:val="18"/>
              </w:rPr>
            </w:pPr>
            <w:r w:rsidRPr="00166316">
              <w:rPr>
                <w:rFonts w:ascii="Calibri" w:eastAsia="Times New Roman" w:hAnsi="Calibri" w:cs="Calibri"/>
                <w:color w:val="000000"/>
                <w:sz w:val="18"/>
                <w:szCs w:val="18"/>
              </w:rPr>
              <w:t>Cheltuieli fonduri UE</w:t>
            </w:r>
          </w:p>
        </w:tc>
        <w:tc>
          <w:tcPr>
            <w:tcW w:w="992"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11.102,2</w:t>
            </w:r>
          </w:p>
        </w:tc>
        <w:tc>
          <w:tcPr>
            <w:tcW w:w="1134"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17.796,0</w:t>
            </w:r>
          </w:p>
        </w:tc>
        <w:tc>
          <w:tcPr>
            <w:tcW w:w="992"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3.096,2</w:t>
            </w:r>
          </w:p>
        </w:tc>
        <w:tc>
          <w:tcPr>
            <w:tcW w:w="1134"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24.933,0</w:t>
            </w:r>
          </w:p>
        </w:tc>
        <w:tc>
          <w:tcPr>
            <w:tcW w:w="1134"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17.264,9</w:t>
            </w:r>
          </w:p>
        </w:tc>
        <w:tc>
          <w:tcPr>
            <w:tcW w:w="993"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800,0</w:t>
            </w:r>
          </w:p>
        </w:tc>
        <w:tc>
          <w:tcPr>
            <w:tcW w:w="1134"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22.143,9</w:t>
            </w:r>
          </w:p>
        </w:tc>
        <w:tc>
          <w:tcPr>
            <w:tcW w:w="1134"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12.798,1</w:t>
            </w:r>
          </w:p>
        </w:tc>
        <w:tc>
          <w:tcPr>
            <w:tcW w:w="850"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232,1</w:t>
            </w:r>
          </w:p>
        </w:tc>
        <w:tc>
          <w:tcPr>
            <w:tcW w:w="1134"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18.767,9</w:t>
            </w:r>
          </w:p>
        </w:tc>
        <w:tc>
          <w:tcPr>
            <w:tcW w:w="992" w:type="dxa"/>
            <w:gridSpan w:val="2"/>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12.478,0</w:t>
            </w:r>
          </w:p>
        </w:tc>
        <w:tc>
          <w:tcPr>
            <w:tcW w:w="851"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232,1</w:t>
            </w:r>
          </w:p>
        </w:tc>
        <w:tc>
          <w:tcPr>
            <w:tcW w:w="992"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21.380,4</w:t>
            </w:r>
          </w:p>
        </w:tc>
        <w:tc>
          <w:tcPr>
            <w:tcW w:w="992" w:type="dxa"/>
            <w:tcBorders>
              <w:top w:val="nil"/>
              <w:left w:val="nil"/>
              <w:bottom w:val="single" w:sz="4" w:space="0" w:color="0070C0"/>
              <w:right w:val="single" w:sz="4" w:space="0" w:color="0070C0"/>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23.558,8</w:t>
            </w:r>
          </w:p>
        </w:tc>
        <w:tc>
          <w:tcPr>
            <w:tcW w:w="709" w:type="dxa"/>
            <w:tcBorders>
              <w:top w:val="nil"/>
              <w:left w:val="nil"/>
              <w:bottom w:val="single" w:sz="4" w:space="0" w:color="0070C0"/>
              <w:right w:val="single" w:sz="8" w:space="0" w:color="auto"/>
            </w:tcBorders>
            <w:shd w:val="clear" w:color="auto" w:fill="auto"/>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232,1</w:t>
            </w:r>
          </w:p>
        </w:tc>
      </w:tr>
      <w:tr w:rsidR="001A6DF6" w:rsidRPr="00166316" w:rsidTr="001A6DF6">
        <w:trPr>
          <w:trHeight w:val="845"/>
        </w:trPr>
        <w:tc>
          <w:tcPr>
            <w:tcW w:w="1408" w:type="dxa"/>
            <w:tcBorders>
              <w:top w:val="nil"/>
              <w:left w:val="single" w:sz="8" w:space="0" w:color="auto"/>
              <w:bottom w:val="single" w:sz="8" w:space="0" w:color="auto"/>
              <w:right w:val="single" w:sz="4" w:space="0" w:color="0070C0"/>
            </w:tcBorders>
            <w:shd w:val="clear" w:color="000000" w:fill="FFFFFF"/>
            <w:vAlign w:val="center"/>
            <w:hideMark/>
          </w:tcPr>
          <w:p w:rsidR="001A6DF6" w:rsidRPr="00166316" w:rsidRDefault="001A6DF6" w:rsidP="001A6DF6">
            <w:pPr>
              <w:spacing w:after="0" w:line="240" w:lineRule="auto"/>
              <w:rPr>
                <w:rFonts w:ascii="Calibri" w:eastAsia="Times New Roman" w:hAnsi="Calibri" w:cs="Calibri"/>
                <w:color w:val="000000"/>
                <w:sz w:val="18"/>
                <w:szCs w:val="18"/>
              </w:rPr>
            </w:pPr>
            <w:r w:rsidRPr="00166316">
              <w:rPr>
                <w:rFonts w:ascii="Calibri" w:eastAsia="Times New Roman" w:hAnsi="Calibri" w:cs="Calibri"/>
                <w:color w:val="000000"/>
                <w:sz w:val="18"/>
                <w:szCs w:val="18"/>
              </w:rPr>
              <w:t>Cofinanțare și cheltuieli neeligibile</w:t>
            </w:r>
          </w:p>
        </w:tc>
        <w:tc>
          <w:tcPr>
            <w:tcW w:w="992"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5.916,6</w:t>
            </w:r>
          </w:p>
        </w:tc>
        <w:tc>
          <w:tcPr>
            <w:tcW w:w="1134"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992"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1134"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9.859,5</w:t>
            </w:r>
          </w:p>
        </w:tc>
        <w:tc>
          <w:tcPr>
            <w:tcW w:w="1134"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993"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1134"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9.010,0</w:t>
            </w:r>
          </w:p>
        </w:tc>
        <w:tc>
          <w:tcPr>
            <w:tcW w:w="1134"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850"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1134"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7.955,0</w:t>
            </w:r>
          </w:p>
        </w:tc>
        <w:tc>
          <w:tcPr>
            <w:tcW w:w="992" w:type="dxa"/>
            <w:gridSpan w:val="2"/>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851"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992"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9.964,2</w:t>
            </w:r>
          </w:p>
        </w:tc>
        <w:tc>
          <w:tcPr>
            <w:tcW w:w="992" w:type="dxa"/>
            <w:tcBorders>
              <w:top w:val="nil"/>
              <w:left w:val="nil"/>
              <w:bottom w:val="single" w:sz="8" w:space="0" w:color="auto"/>
              <w:right w:val="single" w:sz="4" w:space="0" w:color="0070C0"/>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c>
          <w:tcPr>
            <w:tcW w:w="709" w:type="dxa"/>
            <w:tcBorders>
              <w:top w:val="nil"/>
              <w:left w:val="nil"/>
              <w:bottom w:val="single" w:sz="8" w:space="0" w:color="auto"/>
              <w:right w:val="single" w:sz="8" w:space="0" w:color="auto"/>
            </w:tcBorders>
            <w:shd w:val="clear" w:color="000000" w:fill="FFFFFF"/>
            <w:vAlign w:val="center"/>
            <w:hideMark/>
          </w:tcPr>
          <w:p w:rsidR="001A6DF6" w:rsidRPr="001A6DF6" w:rsidRDefault="001A6DF6" w:rsidP="001A6DF6">
            <w:pPr>
              <w:spacing w:before="40" w:after="40"/>
              <w:jc w:val="center"/>
              <w:rPr>
                <w:rFonts w:ascii="Calibri" w:hAnsi="Calibri" w:cs="Calibri"/>
                <w:color w:val="000000"/>
                <w:sz w:val="18"/>
                <w:szCs w:val="18"/>
              </w:rPr>
            </w:pPr>
            <w:r w:rsidRPr="001A6DF6">
              <w:rPr>
                <w:rFonts w:ascii="Calibri" w:hAnsi="Calibri" w:cs="Calibri"/>
                <w:color w:val="000000"/>
                <w:sz w:val="18"/>
                <w:szCs w:val="18"/>
              </w:rPr>
              <w:t>0,0</w:t>
            </w:r>
          </w:p>
        </w:tc>
      </w:tr>
    </w:tbl>
    <w:p w:rsidR="00166316" w:rsidRPr="00166316" w:rsidRDefault="00166316" w:rsidP="00166316">
      <w:pPr>
        <w:jc w:val="center"/>
        <w:rPr>
          <w:i/>
          <w:sz w:val="24"/>
          <w:szCs w:val="24"/>
        </w:rPr>
      </w:pPr>
      <w:r w:rsidRPr="00166316">
        <w:rPr>
          <w:sz w:val="24"/>
          <w:szCs w:val="24"/>
        </w:rPr>
        <w:t xml:space="preserve">Sursa: </w:t>
      </w:r>
      <w:r w:rsidRPr="00166316">
        <w:rPr>
          <w:i/>
          <w:sz w:val="24"/>
          <w:szCs w:val="24"/>
        </w:rPr>
        <w:t>Ministerul Finanțelor Publice, calcule Consiliul fiscal</w:t>
      </w:r>
    </w:p>
    <w:p w:rsidR="00166316" w:rsidRPr="00166316" w:rsidRDefault="00166316" w:rsidP="00166316"/>
    <w:p w:rsidR="00166316" w:rsidRPr="00166316" w:rsidRDefault="00166316" w:rsidP="00166316">
      <w:pPr>
        <w:sectPr w:rsidR="00166316" w:rsidRPr="00166316" w:rsidSect="00CF4281">
          <w:pgSz w:w="16838" w:h="11906" w:orient="landscape"/>
          <w:pgMar w:top="1417" w:right="1417" w:bottom="1417" w:left="1417" w:header="709" w:footer="709" w:gutter="284"/>
          <w:cols w:space="708"/>
          <w:docGrid w:linePitch="360"/>
        </w:sectPr>
      </w:pPr>
    </w:p>
    <w:tbl>
      <w:tblPr>
        <w:tblStyle w:val="TableGrid"/>
        <w:tblW w:w="0" w:type="auto"/>
        <w:tblLook w:val="04A0" w:firstRow="1" w:lastRow="0" w:firstColumn="1" w:lastColumn="0" w:noHBand="0" w:noVBand="1"/>
      </w:tblPr>
      <w:tblGrid>
        <w:gridCol w:w="8856"/>
      </w:tblGrid>
      <w:tr w:rsidR="00166316" w:rsidRPr="00166316" w:rsidTr="00CF4281">
        <w:tc>
          <w:tcPr>
            <w:tcW w:w="8778" w:type="dxa"/>
            <w:shd w:val="clear" w:color="auto" w:fill="0070C0"/>
          </w:tcPr>
          <w:p w:rsidR="00166316" w:rsidRPr="00166316" w:rsidRDefault="00166316" w:rsidP="00CF4281">
            <w:pPr>
              <w:spacing w:before="120" w:after="120"/>
              <w:jc w:val="center"/>
              <w:rPr>
                <w:b/>
                <w:sz w:val="24"/>
                <w:szCs w:val="24"/>
              </w:rPr>
            </w:pPr>
            <w:r w:rsidRPr="00166316">
              <w:rPr>
                <w:b/>
                <w:color w:val="FFFFFF" w:themeColor="background1"/>
                <w:sz w:val="24"/>
                <w:szCs w:val="24"/>
              </w:rPr>
              <w:lastRenderedPageBreak/>
              <w:t>Anexa nr. 7: Evoluția cheltuielilor de investiții în perioada 2009-2019 – nivel planificat vs. realizări</w:t>
            </w:r>
          </w:p>
        </w:tc>
      </w:tr>
      <w:tr w:rsidR="00166316" w:rsidRPr="00166316" w:rsidTr="00CF4281">
        <w:tc>
          <w:tcPr>
            <w:tcW w:w="8778" w:type="dxa"/>
          </w:tcPr>
          <w:p w:rsidR="00166316" w:rsidRPr="00166316" w:rsidRDefault="00166316" w:rsidP="00CF4281">
            <w:pPr>
              <w:jc w:val="center"/>
            </w:pPr>
            <w:r w:rsidRPr="00166316">
              <w:rPr>
                <w:noProof/>
                <w:lang w:eastAsia="ro-RO"/>
              </w:rPr>
              <w:drawing>
                <wp:inline distT="0" distB="0" distL="0" distR="0" wp14:anchorId="49BC37E0" wp14:editId="54B8771C">
                  <wp:extent cx="5480050" cy="4184650"/>
                  <wp:effectExtent l="0" t="0" r="6350" b="6350"/>
                  <wp:docPr id="1" name="Diagramă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64D7F1-17F3-4EE8-B03E-532220E64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66316" w:rsidRPr="00166316" w:rsidRDefault="00166316" w:rsidP="00166316">
      <w:pPr>
        <w:jc w:val="center"/>
        <w:rPr>
          <w:i/>
          <w:sz w:val="24"/>
          <w:szCs w:val="24"/>
        </w:rPr>
      </w:pPr>
      <w:r w:rsidRPr="00166316">
        <w:rPr>
          <w:sz w:val="24"/>
          <w:szCs w:val="24"/>
        </w:rPr>
        <w:t xml:space="preserve">Sursa: </w:t>
      </w:r>
      <w:r w:rsidRPr="00166316">
        <w:rPr>
          <w:i/>
          <w:sz w:val="24"/>
          <w:szCs w:val="24"/>
        </w:rPr>
        <w:t>Ministerul Finanțelor Publice, calcule Consiliul fiscal</w:t>
      </w:r>
    </w:p>
    <w:p w:rsidR="00166316" w:rsidRPr="00166316" w:rsidRDefault="00166316" w:rsidP="00166316"/>
    <w:p w:rsidR="00166316" w:rsidRPr="00166316" w:rsidRDefault="00166316" w:rsidP="00166316"/>
    <w:p w:rsidR="00166316" w:rsidRPr="00166316" w:rsidRDefault="00166316" w:rsidP="00166316"/>
    <w:p w:rsidR="00166316" w:rsidRPr="00166316" w:rsidRDefault="00166316" w:rsidP="00166316"/>
    <w:p w:rsidR="00C77F45" w:rsidRPr="00166316" w:rsidRDefault="00C77F45" w:rsidP="005B7AE5">
      <w:pPr>
        <w:widowControl w:val="0"/>
        <w:autoSpaceDE w:val="0"/>
        <w:autoSpaceDN w:val="0"/>
        <w:adjustRightInd w:val="0"/>
        <w:spacing w:after="0"/>
        <w:ind w:left="7200"/>
        <w:jc w:val="both"/>
        <w:rPr>
          <w:rFonts w:cs="Calibri"/>
          <w:b/>
          <w:sz w:val="24"/>
          <w:szCs w:val="24"/>
        </w:rPr>
      </w:pPr>
    </w:p>
    <w:sectPr w:rsidR="00C77F45" w:rsidRPr="00166316" w:rsidSect="00CF4281">
      <w:pgSz w:w="11906" w:h="16838"/>
      <w:pgMar w:top="1417" w:right="1417" w:bottom="1417" w:left="141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F1" w:rsidRDefault="00BF39F1" w:rsidP="00927D79">
      <w:pPr>
        <w:spacing w:after="0" w:line="240" w:lineRule="auto"/>
      </w:pPr>
      <w:r>
        <w:separator/>
      </w:r>
    </w:p>
  </w:endnote>
  <w:endnote w:type="continuationSeparator" w:id="0">
    <w:p w:rsidR="00BF39F1" w:rsidRDefault="00BF39F1" w:rsidP="0092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397913"/>
      <w:docPartObj>
        <w:docPartGallery w:val="Page Numbers (Bottom of Page)"/>
        <w:docPartUnique/>
      </w:docPartObj>
    </w:sdtPr>
    <w:sdtEndPr>
      <w:rPr>
        <w:noProof/>
      </w:rPr>
    </w:sdtEndPr>
    <w:sdtContent>
      <w:p w:rsidR="00042397" w:rsidRDefault="00042397">
        <w:pPr>
          <w:pStyle w:val="Footer"/>
          <w:jc w:val="center"/>
        </w:pPr>
        <w:r>
          <w:fldChar w:fldCharType="begin"/>
        </w:r>
        <w:r>
          <w:instrText xml:space="preserve"> PAGE   \* MERGEFORMAT </w:instrText>
        </w:r>
        <w:r>
          <w:fldChar w:fldCharType="separate"/>
        </w:r>
        <w:r w:rsidR="00C87D89">
          <w:rPr>
            <w:noProof/>
          </w:rPr>
          <w:t>3</w:t>
        </w:r>
        <w:r>
          <w:rPr>
            <w:noProof/>
          </w:rPr>
          <w:fldChar w:fldCharType="end"/>
        </w:r>
      </w:p>
    </w:sdtContent>
  </w:sdt>
  <w:p w:rsidR="00042397" w:rsidRDefault="0004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F1" w:rsidRDefault="00BF39F1" w:rsidP="00927D79">
      <w:pPr>
        <w:spacing w:after="0" w:line="240" w:lineRule="auto"/>
      </w:pPr>
      <w:r>
        <w:separator/>
      </w:r>
    </w:p>
  </w:footnote>
  <w:footnote w:type="continuationSeparator" w:id="0">
    <w:p w:rsidR="00BF39F1" w:rsidRDefault="00BF39F1" w:rsidP="00927D79">
      <w:pPr>
        <w:spacing w:after="0" w:line="240" w:lineRule="auto"/>
      </w:pPr>
      <w:r>
        <w:continuationSeparator/>
      </w:r>
    </w:p>
  </w:footnote>
  <w:footnote w:id="1">
    <w:p w:rsidR="00042397" w:rsidRPr="007C321E" w:rsidRDefault="00042397" w:rsidP="00042397">
      <w:pPr>
        <w:pStyle w:val="FootnoteText"/>
        <w:jc w:val="both"/>
        <w:rPr>
          <w:lang w:val="ro-RO"/>
        </w:rPr>
      </w:pPr>
      <w:r w:rsidRPr="007C321E">
        <w:rPr>
          <w:rStyle w:val="FootnoteReference"/>
          <w:lang w:val="ro-RO"/>
        </w:rPr>
        <w:footnoteRef/>
      </w:r>
      <w:r w:rsidRPr="007C321E">
        <w:rPr>
          <w:lang w:val="ro-RO"/>
        </w:rPr>
        <w:t xml:space="preserve"> De menționat ca anvelopa salarială în sectorul public este deja din 2018 la maxime istorice și se situează deasupra cifrei de la nivelul UE28 (10,8% din</w:t>
      </w:r>
      <w:r w:rsidR="007C321E">
        <w:rPr>
          <w:lang w:val="ro-RO"/>
        </w:rPr>
        <w:t xml:space="preserve"> PIB dup</w:t>
      </w:r>
      <w:r w:rsidR="00A30609">
        <w:rPr>
          <w:lang w:val="ro-RO"/>
        </w:rPr>
        <w:t>ă</w:t>
      </w:r>
      <w:r w:rsidR="007C321E">
        <w:rPr>
          <w:lang w:val="ro-RO"/>
        </w:rPr>
        <w:t xml:space="preserve"> standarde ESA2010 față</w:t>
      </w:r>
      <w:r w:rsidRPr="007C321E">
        <w:rPr>
          <w:lang w:val="ro-RO"/>
        </w:rPr>
        <w:t xml:space="preserve"> de 9,9% din PIB la nivelul UE28, conform estimărilor Comisiei Europene), în condițiile în care veniturile fiscale din Romania sunt mult mai mici dec</w:t>
      </w:r>
      <w:r w:rsidR="00A30609">
        <w:rPr>
          <w:lang w:val="ro-RO"/>
        </w:rPr>
        <w:t>â</w:t>
      </w:r>
      <w:r w:rsidRPr="007C321E">
        <w:rPr>
          <w:lang w:val="ro-RO"/>
        </w:rPr>
        <w:t xml:space="preserve">t media UE (26.3% din PIB in Romania in 2018 vs 40% din PIB </w:t>
      </w:r>
      <w:r w:rsidR="007C321E" w:rsidRPr="007C321E">
        <w:rPr>
          <w:lang w:val="ro-RO"/>
        </w:rPr>
        <w:t>la nivelul</w:t>
      </w:r>
      <w:r w:rsidRPr="007C321E">
        <w:rPr>
          <w:lang w:val="ro-RO"/>
        </w:rPr>
        <w:t xml:space="preserve"> UE28). </w:t>
      </w:r>
    </w:p>
  </w:footnote>
  <w:footnote w:id="2">
    <w:p w:rsidR="00042397" w:rsidRPr="000D2CDB" w:rsidRDefault="00042397">
      <w:pPr>
        <w:pStyle w:val="FootnoteText"/>
        <w:rPr>
          <w:lang w:val="ro-RO"/>
        </w:rPr>
      </w:pPr>
      <w:r>
        <w:rPr>
          <w:rStyle w:val="FootnoteReference"/>
        </w:rPr>
        <w:footnoteRef/>
      </w:r>
      <w:r>
        <w:t xml:space="preserve"> </w:t>
      </w:r>
      <w:r w:rsidRPr="000D2CDB">
        <w:t>http://data.consilium.europa.eu/doc/document/ST-14684-2018-INIT/en/pdf</w:t>
      </w:r>
    </w:p>
  </w:footnote>
  <w:footnote w:id="3">
    <w:p w:rsidR="00042397" w:rsidRPr="006C3ED7" w:rsidRDefault="00042397" w:rsidP="00A7748C">
      <w:pPr>
        <w:pStyle w:val="FootnoteText"/>
        <w:jc w:val="both"/>
        <w:rPr>
          <w:lang w:val="ro-RO"/>
        </w:rPr>
      </w:pPr>
      <w:r>
        <w:rPr>
          <w:rStyle w:val="FootnoteReference"/>
        </w:rPr>
        <w:footnoteRef/>
      </w:r>
      <w:r>
        <w:t xml:space="preserve"> </w:t>
      </w:r>
      <w:r>
        <w:rPr>
          <w:lang w:val="ro-RO"/>
        </w:rPr>
        <w:t>În cazul anului 2018 raportăm variația anuală a salariului net, aceasta fiind comparabilă cu evoluțiile viitoare în contextul în care cifrele brute la nivelul anului sunt afectate de trecerea contribuțiilor sociale din sarcina angajatorului în cea a angajatului.</w:t>
      </w:r>
    </w:p>
  </w:footnote>
  <w:footnote w:id="4">
    <w:p w:rsidR="00042397" w:rsidRPr="000D71CE" w:rsidRDefault="00042397" w:rsidP="00A7748C">
      <w:pPr>
        <w:pStyle w:val="FootnoteText"/>
        <w:jc w:val="both"/>
        <w:rPr>
          <w:lang w:val="ro-RO"/>
        </w:rPr>
      </w:pPr>
      <w:r>
        <w:rPr>
          <w:rStyle w:val="FootnoteReference"/>
        </w:rPr>
        <w:footnoteRef/>
      </w:r>
      <w:r>
        <w:t xml:space="preserve"> </w:t>
      </w:r>
      <w:r>
        <w:rPr>
          <w:lang w:val="ro-RO"/>
        </w:rPr>
        <w:t xml:space="preserve">Veniturile </w:t>
      </w:r>
      <w:r w:rsidR="00F84640">
        <w:rPr>
          <w:lang w:val="ro-RO"/>
        </w:rPr>
        <w:t>î</w:t>
      </w:r>
      <w:r>
        <w:rPr>
          <w:lang w:val="ro-RO"/>
        </w:rPr>
        <w:t xml:space="preserve">ncasate din TVA </w:t>
      </w:r>
      <w:r w:rsidR="00F84640">
        <w:rPr>
          <w:lang w:val="ro-RO"/>
        </w:rPr>
        <w:t>î</w:t>
      </w:r>
      <w:r>
        <w:rPr>
          <w:lang w:val="ro-RO"/>
        </w:rPr>
        <w:t xml:space="preserve">n 2018 </w:t>
      </w:r>
      <w:r w:rsidR="00F84640">
        <w:rPr>
          <w:lang w:val="ro-RO"/>
        </w:rPr>
        <w:t xml:space="preserve">au fost cu 1,7 mld. </w:t>
      </w:r>
      <w:r>
        <w:rPr>
          <w:lang w:val="ro-RO"/>
        </w:rPr>
        <w:t xml:space="preserve"> lei inferioare țintei inițiale, ritmul de creștere a  veniturilor din TVA apărând drept explicat de variația nominală </w:t>
      </w:r>
      <w:r w:rsidR="00F84640">
        <w:rPr>
          <w:lang w:val="ro-RO"/>
        </w:rPr>
        <w:t>a</w:t>
      </w:r>
      <w:r>
        <w:rPr>
          <w:lang w:val="ro-RO"/>
        </w:rPr>
        <w:t xml:space="preserve"> bazei macroeconomice și de reducerea drastic</w:t>
      </w:r>
      <w:r w:rsidR="00F84640">
        <w:rPr>
          <w:lang w:val="ro-RO"/>
        </w:rPr>
        <w:t>ă</w:t>
      </w:r>
      <w:r>
        <w:rPr>
          <w:lang w:val="ro-RO"/>
        </w:rPr>
        <w:t xml:space="preserve"> a rambursărilor de TVA în ultimele două luni ale anului, nefiind aparente plusuri semnificative de venituri ce ar rezulta din îmbunătățirea colectării. </w:t>
      </w:r>
    </w:p>
  </w:footnote>
  <w:footnote w:id="5">
    <w:p w:rsidR="00042397" w:rsidRPr="007F0A06" w:rsidRDefault="00042397" w:rsidP="00ED2CDC">
      <w:pPr>
        <w:pStyle w:val="FootnoteText"/>
        <w:jc w:val="both"/>
        <w:rPr>
          <w:lang w:val="ro-RO"/>
        </w:rPr>
      </w:pPr>
      <w:r w:rsidRPr="007F0A06">
        <w:rPr>
          <w:rStyle w:val="FootnoteReference"/>
          <w:lang w:val="ro-RO"/>
        </w:rPr>
        <w:footnoteRef/>
      </w:r>
      <w:r w:rsidRPr="007F0A06">
        <w:rPr>
          <w:lang w:val="ro-RO"/>
        </w:rPr>
        <w:t xml:space="preserve"> Supraestimarea este generat</w:t>
      </w:r>
      <w:r w:rsidR="00F84640" w:rsidRPr="007F0A06">
        <w:rPr>
          <w:lang w:val="ro-RO"/>
        </w:rPr>
        <w:t>ă</w:t>
      </w:r>
      <w:r w:rsidRPr="007F0A06">
        <w:rPr>
          <w:lang w:val="ro-RO"/>
        </w:rPr>
        <w:t xml:space="preserve"> de ipotezele excesiv de optimiste cu privire la dinamica salariului mediu </w:t>
      </w:r>
      <w:r w:rsidR="007F0A06">
        <w:rPr>
          <w:lang w:val="ro-RO"/>
        </w:rPr>
        <w:t>ș</w:t>
      </w:r>
      <w:r w:rsidRPr="007F0A06">
        <w:rPr>
          <w:lang w:val="ro-RO"/>
        </w:rPr>
        <w:t>i a num</w:t>
      </w:r>
      <w:r w:rsidR="00F84640" w:rsidRPr="007F0A06">
        <w:rPr>
          <w:lang w:val="ro-RO"/>
        </w:rPr>
        <w:t>ă</w:t>
      </w:r>
      <w:r w:rsidRPr="007F0A06">
        <w:rPr>
          <w:lang w:val="ro-RO"/>
        </w:rPr>
        <w:t>rului de salaria</w:t>
      </w:r>
      <w:r w:rsidR="00F84640" w:rsidRPr="007F0A06">
        <w:rPr>
          <w:lang w:val="ro-RO"/>
        </w:rPr>
        <w:t>ț</w:t>
      </w:r>
      <w:r w:rsidRPr="007F0A06">
        <w:rPr>
          <w:lang w:val="ro-RO"/>
        </w:rPr>
        <w:t>i.</w:t>
      </w:r>
    </w:p>
  </w:footnote>
  <w:footnote w:id="6">
    <w:p w:rsidR="00042397" w:rsidRPr="00F0257E" w:rsidRDefault="00042397" w:rsidP="00A91584">
      <w:pPr>
        <w:pStyle w:val="FootnoteText"/>
        <w:jc w:val="both"/>
        <w:rPr>
          <w:lang w:val="ro-RO"/>
        </w:rPr>
      </w:pPr>
      <w:r>
        <w:rPr>
          <w:rStyle w:val="FootnoteReference"/>
        </w:rPr>
        <w:footnoteRef/>
      </w:r>
      <w:r>
        <w:t xml:space="preserve"> </w:t>
      </w:r>
      <w:r>
        <w:rPr>
          <w:lang w:val="ro-RO"/>
        </w:rPr>
        <w:t xml:space="preserve">Un exemplu în acest sens este reprezentat de veniturile din TVA în anul 2020, care cresc cu doar 3% comparativ cu nivelul proiectat pentru 2019. Dată fiind dimensiunea dinamicii consumului privat nominal prognozate pentru 2020, o asemenea traiectorie este concordantă fie cu o eventuală reducere suplimentară a ratei TVA (nemenționată în textul SFB) în condițiile în care plusul de venituri din creșterea conformării la plată din 2019 ar fi considerat ca permanent, fie cu un scenariu de tip </w:t>
      </w:r>
      <w:r w:rsidRPr="003F1136">
        <w:rPr>
          <w:i/>
          <w:lang w:val="ro-RO"/>
        </w:rPr>
        <w:t>no policy change</w:t>
      </w:r>
      <w:r>
        <w:rPr>
          <w:lang w:val="ro-RO"/>
        </w:rPr>
        <w:t xml:space="preserve"> în care rezidualul ANAF din 2019 este privit ca un fenomen temporar.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CE"/>
    <w:multiLevelType w:val="hybridMultilevel"/>
    <w:tmpl w:val="483A39B2"/>
    <w:lvl w:ilvl="0" w:tplc="54A22F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F34023"/>
    <w:multiLevelType w:val="hybridMultilevel"/>
    <w:tmpl w:val="6EFE9D2A"/>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
    <w:nsid w:val="3B08510B"/>
    <w:multiLevelType w:val="hybridMultilevel"/>
    <w:tmpl w:val="B3C0552A"/>
    <w:lvl w:ilvl="0" w:tplc="54A22F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F21CEC"/>
    <w:multiLevelType w:val="hybridMultilevel"/>
    <w:tmpl w:val="52C84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BFF2F77"/>
    <w:multiLevelType w:val="hybridMultilevel"/>
    <w:tmpl w:val="5582ACC6"/>
    <w:lvl w:ilvl="0" w:tplc="1009000F">
      <w:start w:val="1"/>
      <w:numFmt w:val="decimal"/>
      <w:lvlText w:val="%1."/>
      <w:lvlJc w:val="left"/>
      <w:pPr>
        <w:ind w:left="880" w:hanging="360"/>
      </w:pPr>
    </w:lvl>
    <w:lvl w:ilvl="1" w:tplc="10090019" w:tentative="1">
      <w:start w:val="1"/>
      <w:numFmt w:val="lowerLetter"/>
      <w:lvlText w:val="%2."/>
      <w:lvlJc w:val="left"/>
      <w:pPr>
        <w:ind w:left="1600" w:hanging="360"/>
      </w:pPr>
    </w:lvl>
    <w:lvl w:ilvl="2" w:tplc="1009001B" w:tentative="1">
      <w:start w:val="1"/>
      <w:numFmt w:val="lowerRoman"/>
      <w:lvlText w:val="%3."/>
      <w:lvlJc w:val="right"/>
      <w:pPr>
        <w:ind w:left="2320" w:hanging="180"/>
      </w:pPr>
    </w:lvl>
    <w:lvl w:ilvl="3" w:tplc="1009000F" w:tentative="1">
      <w:start w:val="1"/>
      <w:numFmt w:val="decimal"/>
      <w:lvlText w:val="%4."/>
      <w:lvlJc w:val="left"/>
      <w:pPr>
        <w:ind w:left="3040" w:hanging="360"/>
      </w:pPr>
    </w:lvl>
    <w:lvl w:ilvl="4" w:tplc="10090019" w:tentative="1">
      <w:start w:val="1"/>
      <w:numFmt w:val="lowerLetter"/>
      <w:lvlText w:val="%5."/>
      <w:lvlJc w:val="left"/>
      <w:pPr>
        <w:ind w:left="3760" w:hanging="360"/>
      </w:pPr>
    </w:lvl>
    <w:lvl w:ilvl="5" w:tplc="1009001B" w:tentative="1">
      <w:start w:val="1"/>
      <w:numFmt w:val="lowerRoman"/>
      <w:lvlText w:val="%6."/>
      <w:lvlJc w:val="right"/>
      <w:pPr>
        <w:ind w:left="4480" w:hanging="180"/>
      </w:pPr>
    </w:lvl>
    <w:lvl w:ilvl="6" w:tplc="1009000F" w:tentative="1">
      <w:start w:val="1"/>
      <w:numFmt w:val="decimal"/>
      <w:lvlText w:val="%7."/>
      <w:lvlJc w:val="left"/>
      <w:pPr>
        <w:ind w:left="5200" w:hanging="360"/>
      </w:pPr>
    </w:lvl>
    <w:lvl w:ilvl="7" w:tplc="10090019" w:tentative="1">
      <w:start w:val="1"/>
      <w:numFmt w:val="lowerLetter"/>
      <w:lvlText w:val="%8."/>
      <w:lvlJc w:val="left"/>
      <w:pPr>
        <w:ind w:left="5920" w:hanging="360"/>
      </w:pPr>
    </w:lvl>
    <w:lvl w:ilvl="8" w:tplc="1009001B" w:tentative="1">
      <w:start w:val="1"/>
      <w:numFmt w:val="lowerRoman"/>
      <w:lvlText w:val="%9."/>
      <w:lvlJc w:val="right"/>
      <w:pPr>
        <w:ind w:left="6640" w:hanging="180"/>
      </w:pPr>
    </w:lvl>
  </w:abstractNum>
  <w:abstractNum w:abstractNumId="5">
    <w:nsid w:val="5AFA0202"/>
    <w:multiLevelType w:val="hybridMultilevel"/>
    <w:tmpl w:val="64D49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50"/>
    <w:rsid w:val="00005CC9"/>
    <w:rsid w:val="0000673B"/>
    <w:rsid w:val="00006A6D"/>
    <w:rsid w:val="00010C1A"/>
    <w:rsid w:val="00023474"/>
    <w:rsid w:val="00024FEC"/>
    <w:rsid w:val="0002780A"/>
    <w:rsid w:val="00034787"/>
    <w:rsid w:val="00035ADA"/>
    <w:rsid w:val="00042397"/>
    <w:rsid w:val="00055C32"/>
    <w:rsid w:val="00057649"/>
    <w:rsid w:val="00057B6F"/>
    <w:rsid w:val="00062F5F"/>
    <w:rsid w:val="000671CA"/>
    <w:rsid w:val="0006740F"/>
    <w:rsid w:val="000677EC"/>
    <w:rsid w:val="00067AA7"/>
    <w:rsid w:val="00072AD8"/>
    <w:rsid w:val="0009393F"/>
    <w:rsid w:val="000A74A6"/>
    <w:rsid w:val="000B54DC"/>
    <w:rsid w:val="000B5918"/>
    <w:rsid w:val="000C4458"/>
    <w:rsid w:val="000C60EE"/>
    <w:rsid w:val="000C7236"/>
    <w:rsid w:val="000D2CDB"/>
    <w:rsid w:val="000D555E"/>
    <w:rsid w:val="000D71CE"/>
    <w:rsid w:val="000E0B95"/>
    <w:rsid w:val="000F2EA0"/>
    <w:rsid w:val="000F3C41"/>
    <w:rsid w:val="00101BE4"/>
    <w:rsid w:val="00105DD5"/>
    <w:rsid w:val="00106754"/>
    <w:rsid w:val="00107B9B"/>
    <w:rsid w:val="00110161"/>
    <w:rsid w:val="0011286B"/>
    <w:rsid w:val="00115CF9"/>
    <w:rsid w:val="00116458"/>
    <w:rsid w:val="00117356"/>
    <w:rsid w:val="00122273"/>
    <w:rsid w:val="00125E91"/>
    <w:rsid w:val="00136FB5"/>
    <w:rsid w:val="00140F71"/>
    <w:rsid w:val="001412CD"/>
    <w:rsid w:val="00143340"/>
    <w:rsid w:val="00145531"/>
    <w:rsid w:val="0016017C"/>
    <w:rsid w:val="001616C4"/>
    <w:rsid w:val="00163E00"/>
    <w:rsid w:val="00166316"/>
    <w:rsid w:val="001708E9"/>
    <w:rsid w:val="00181FC8"/>
    <w:rsid w:val="00182640"/>
    <w:rsid w:val="00186EE6"/>
    <w:rsid w:val="001918D4"/>
    <w:rsid w:val="001935DD"/>
    <w:rsid w:val="001A239A"/>
    <w:rsid w:val="001A2F30"/>
    <w:rsid w:val="001A3A33"/>
    <w:rsid w:val="001A6DF6"/>
    <w:rsid w:val="001B009A"/>
    <w:rsid w:val="001B105C"/>
    <w:rsid w:val="001B3121"/>
    <w:rsid w:val="001D0D13"/>
    <w:rsid w:val="001E1001"/>
    <w:rsid w:val="001E20D8"/>
    <w:rsid w:val="001E74B9"/>
    <w:rsid w:val="001E7CEA"/>
    <w:rsid w:val="001F11C8"/>
    <w:rsid w:val="001F5C05"/>
    <w:rsid w:val="001F62AC"/>
    <w:rsid w:val="001F6B5C"/>
    <w:rsid w:val="001F74C0"/>
    <w:rsid w:val="00205B63"/>
    <w:rsid w:val="00206D63"/>
    <w:rsid w:val="002073B0"/>
    <w:rsid w:val="00217279"/>
    <w:rsid w:val="002247DC"/>
    <w:rsid w:val="002247F1"/>
    <w:rsid w:val="00231D06"/>
    <w:rsid w:val="00232A1B"/>
    <w:rsid w:val="00245DDB"/>
    <w:rsid w:val="0025207A"/>
    <w:rsid w:val="00253C9B"/>
    <w:rsid w:val="0025419E"/>
    <w:rsid w:val="0025692C"/>
    <w:rsid w:val="0026137F"/>
    <w:rsid w:val="00261D16"/>
    <w:rsid w:val="00264879"/>
    <w:rsid w:val="00272785"/>
    <w:rsid w:val="00273016"/>
    <w:rsid w:val="00277ACA"/>
    <w:rsid w:val="00286834"/>
    <w:rsid w:val="00290927"/>
    <w:rsid w:val="00290DA2"/>
    <w:rsid w:val="00294509"/>
    <w:rsid w:val="00296E4A"/>
    <w:rsid w:val="002A656E"/>
    <w:rsid w:val="002B0585"/>
    <w:rsid w:val="002B619C"/>
    <w:rsid w:val="002C70DD"/>
    <w:rsid w:val="002D0BB0"/>
    <w:rsid w:val="002E0164"/>
    <w:rsid w:val="002F3AEC"/>
    <w:rsid w:val="002F5A19"/>
    <w:rsid w:val="00303FBD"/>
    <w:rsid w:val="00311BA0"/>
    <w:rsid w:val="003178D1"/>
    <w:rsid w:val="003204CA"/>
    <w:rsid w:val="00320E34"/>
    <w:rsid w:val="003213F2"/>
    <w:rsid w:val="00340141"/>
    <w:rsid w:val="00343F81"/>
    <w:rsid w:val="00345474"/>
    <w:rsid w:val="00365FFA"/>
    <w:rsid w:val="00374623"/>
    <w:rsid w:val="003804DC"/>
    <w:rsid w:val="00380A58"/>
    <w:rsid w:val="00384252"/>
    <w:rsid w:val="0039291F"/>
    <w:rsid w:val="00393939"/>
    <w:rsid w:val="003A23D8"/>
    <w:rsid w:val="003A2C2A"/>
    <w:rsid w:val="003A4219"/>
    <w:rsid w:val="003B0108"/>
    <w:rsid w:val="003B18D6"/>
    <w:rsid w:val="003B290C"/>
    <w:rsid w:val="003C37F8"/>
    <w:rsid w:val="003D31FE"/>
    <w:rsid w:val="003D4186"/>
    <w:rsid w:val="003F1ABA"/>
    <w:rsid w:val="003F324C"/>
    <w:rsid w:val="003F5D33"/>
    <w:rsid w:val="003F6166"/>
    <w:rsid w:val="0040288A"/>
    <w:rsid w:val="0040473F"/>
    <w:rsid w:val="00410829"/>
    <w:rsid w:val="00410B6E"/>
    <w:rsid w:val="00412B29"/>
    <w:rsid w:val="00415F4D"/>
    <w:rsid w:val="0042040F"/>
    <w:rsid w:val="004218FE"/>
    <w:rsid w:val="004445A0"/>
    <w:rsid w:val="00451F3C"/>
    <w:rsid w:val="0045568B"/>
    <w:rsid w:val="00470871"/>
    <w:rsid w:val="00471D80"/>
    <w:rsid w:val="00472280"/>
    <w:rsid w:val="00473107"/>
    <w:rsid w:val="004824A4"/>
    <w:rsid w:val="00490612"/>
    <w:rsid w:val="004956F9"/>
    <w:rsid w:val="0049760A"/>
    <w:rsid w:val="004B6C23"/>
    <w:rsid w:val="004B6DFF"/>
    <w:rsid w:val="004B749F"/>
    <w:rsid w:val="004B7630"/>
    <w:rsid w:val="004C523C"/>
    <w:rsid w:val="004C7CC0"/>
    <w:rsid w:val="004D0EEC"/>
    <w:rsid w:val="004D5038"/>
    <w:rsid w:val="004E1721"/>
    <w:rsid w:val="004E2990"/>
    <w:rsid w:val="004E367C"/>
    <w:rsid w:val="004F3296"/>
    <w:rsid w:val="004F677B"/>
    <w:rsid w:val="00506110"/>
    <w:rsid w:val="00514910"/>
    <w:rsid w:val="00521D19"/>
    <w:rsid w:val="005262AE"/>
    <w:rsid w:val="0052649E"/>
    <w:rsid w:val="005324A3"/>
    <w:rsid w:val="00535879"/>
    <w:rsid w:val="00541C18"/>
    <w:rsid w:val="00541DE6"/>
    <w:rsid w:val="00541F0E"/>
    <w:rsid w:val="005511C9"/>
    <w:rsid w:val="00552E68"/>
    <w:rsid w:val="005637B1"/>
    <w:rsid w:val="00574D4C"/>
    <w:rsid w:val="005771B4"/>
    <w:rsid w:val="005915EC"/>
    <w:rsid w:val="00593279"/>
    <w:rsid w:val="00594F32"/>
    <w:rsid w:val="00596A5B"/>
    <w:rsid w:val="005A07D2"/>
    <w:rsid w:val="005A20EF"/>
    <w:rsid w:val="005A405C"/>
    <w:rsid w:val="005A5C3D"/>
    <w:rsid w:val="005B0062"/>
    <w:rsid w:val="005B7AE5"/>
    <w:rsid w:val="005C3F71"/>
    <w:rsid w:val="005D32B3"/>
    <w:rsid w:val="005E00BD"/>
    <w:rsid w:val="005E2BC0"/>
    <w:rsid w:val="005E35F0"/>
    <w:rsid w:val="005F0714"/>
    <w:rsid w:val="005F7742"/>
    <w:rsid w:val="00606674"/>
    <w:rsid w:val="006073B9"/>
    <w:rsid w:val="006119F9"/>
    <w:rsid w:val="00615726"/>
    <w:rsid w:val="00617A1E"/>
    <w:rsid w:val="006344AD"/>
    <w:rsid w:val="0066294E"/>
    <w:rsid w:val="006633D2"/>
    <w:rsid w:val="00667AC9"/>
    <w:rsid w:val="00670738"/>
    <w:rsid w:val="006739C7"/>
    <w:rsid w:val="00674779"/>
    <w:rsid w:val="00680F58"/>
    <w:rsid w:val="00682B37"/>
    <w:rsid w:val="00683265"/>
    <w:rsid w:val="00683805"/>
    <w:rsid w:val="00690198"/>
    <w:rsid w:val="00691C2B"/>
    <w:rsid w:val="006A3DE6"/>
    <w:rsid w:val="006A6F28"/>
    <w:rsid w:val="006C31E4"/>
    <w:rsid w:val="006C3792"/>
    <w:rsid w:val="006C3ED7"/>
    <w:rsid w:val="006C5F8E"/>
    <w:rsid w:val="006C740C"/>
    <w:rsid w:val="006D267C"/>
    <w:rsid w:val="006D508C"/>
    <w:rsid w:val="006D70C2"/>
    <w:rsid w:val="006E176E"/>
    <w:rsid w:val="006F3ECA"/>
    <w:rsid w:val="006F56DF"/>
    <w:rsid w:val="006F74EA"/>
    <w:rsid w:val="007012D8"/>
    <w:rsid w:val="007168A0"/>
    <w:rsid w:val="00721842"/>
    <w:rsid w:val="007300E2"/>
    <w:rsid w:val="0074318B"/>
    <w:rsid w:val="007435F2"/>
    <w:rsid w:val="00751565"/>
    <w:rsid w:val="00760E22"/>
    <w:rsid w:val="00767DEB"/>
    <w:rsid w:val="00773F2D"/>
    <w:rsid w:val="00777C9F"/>
    <w:rsid w:val="00787D43"/>
    <w:rsid w:val="00795ECB"/>
    <w:rsid w:val="0079658F"/>
    <w:rsid w:val="00797508"/>
    <w:rsid w:val="007A1CC9"/>
    <w:rsid w:val="007A4DAE"/>
    <w:rsid w:val="007B2CE9"/>
    <w:rsid w:val="007C321E"/>
    <w:rsid w:val="007C334D"/>
    <w:rsid w:val="007C4863"/>
    <w:rsid w:val="007D103A"/>
    <w:rsid w:val="007F0A06"/>
    <w:rsid w:val="007F7E0B"/>
    <w:rsid w:val="00801395"/>
    <w:rsid w:val="00801908"/>
    <w:rsid w:val="00805BD2"/>
    <w:rsid w:val="0081752E"/>
    <w:rsid w:val="00825A5B"/>
    <w:rsid w:val="00827F2E"/>
    <w:rsid w:val="008334B1"/>
    <w:rsid w:val="00833DDB"/>
    <w:rsid w:val="008471DE"/>
    <w:rsid w:val="00850C1C"/>
    <w:rsid w:val="00873450"/>
    <w:rsid w:val="00873F9F"/>
    <w:rsid w:val="00875AE2"/>
    <w:rsid w:val="00875B2C"/>
    <w:rsid w:val="00885CCA"/>
    <w:rsid w:val="00886B69"/>
    <w:rsid w:val="00890371"/>
    <w:rsid w:val="008905C9"/>
    <w:rsid w:val="0089387F"/>
    <w:rsid w:val="008979AA"/>
    <w:rsid w:val="008A3AE5"/>
    <w:rsid w:val="008A6257"/>
    <w:rsid w:val="008A69D1"/>
    <w:rsid w:val="008B1427"/>
    <w:rsid w:val="008C4B55"/>
    <w:rsid w:val="008C6E1E"/>
    <w:rsid w:val="008D0890"/>
    <w:rsid w:val="008E22F2"/>
    <w:rsid w:val="008E3AB3"/>
    <w:rsid w:val="008F200C"/>
    <w:rsid w:val="00902307"/>
    <w:rsid w:val="00907800"/>
    <w:rsid w:val="009100B2"/>
    <w:rsid w:val="009107B1"/>
    <w:rsid w:val="009168FC"/>
    <w:rsid w:val="00916A6F"/>
    <w:rsid w:val="00920807"/>
    <w:rsid w:val="00924EAA"/>
    <w:rsid w:val="00925C06"/>
    <w:rsid w:val="00927D79"/>
    <w:rsid w:val="00936A98"/>
    <w:rsid w:val="00952E8F"/>
    <w:rsid w:val="00973173"/>
    <w:rsid w:val="00993BEE"/>
    <w:rsid w:val="009A57DB"/>
    <w:rsid w:val="009A72F7"/>
    <w:rsid w:val="009B4283"/>
    <w:rsid w:val="009B52F0"/>
    <w:rsid w:val="009B7385"/>
    <w:rsid w:val="009D0E5A"/>
    <w:rsid w:val="009D718E"/>
    <w:rsid w:val="009F094F"/>
    <w:rsid w:val="009F2651"/>
    <w:rsid w:val="009F5AAD"/>
    <w:rsid w:val="00A023D7"/>
    <w:rsid w:val="00A05B53"/>
    <w:rsid w:val="00A0776B"/>
    <w:rsid w:val="00A141BC"/>
    <w:rsid w:val="00A15612"/>
    <w:rsid w:val="00A30609"/>
    <w:rsid w:val="00A36A15"/>
    <w:rsid w:val="00A46992"/>
    <w:rsid w:val="00A630F3"/>
    <w:rsid w:val="00A671F9"/>
    <w:rsid w:val="00A6795A"/>
    <w:rsid w:val="00A756AF"/>
    <w:rsid w:val="00A7748C"/>
    <w:rsid w:val="00A8280F"/>
    <w:rsid w:val="00A83DA7"/>
    <w:rsid w:val="00A91584"/>
    <w:rsid w:val="00A96D31"/>
    <w:rsid w:val="00AA5504"/>
    <w:rsid w:val="00AB1A99"/>
    <w:rsid w:val="00AB2D89"/>
    <w:rsid w:val="00AB3844"/>
    <w:rsid w:val="00AB3A09"/>
    <w:rsid w:val="00AB4878"/>
    <w:rsid w:val="00AB5BF8"/>
    <w:rsid w:val="00AB678D"/>
    <w:rsid w:val="00AC1D1C"/>
    <w:rsid w:val="00AC1F61"/>
    <w:rsid w:val="00AC4716"/>
    <w:rsid w:val="00AC67C0"/>
    <w:rsid w:val="00AD4CF1"/>
    <w:rsid w:val="00AE3F1D"/>
    <w:rsid w:val="00AE776F"/>
    <w:rsid w:val="00AE7C5E"/>
    <w:rsid w:val="00AF0884"/>
    <w:rsid w:val="00AF350A"/>
    <w:rsid w:val="00AF3D50"/>
    <w:rsid w:val="00AF3E34"/>
    <w:rsid w:val="00AF5E4B"/>
    <w:rsid w:val="00B01646"/>
    <w:rsid w:val="00B048E2"/>
    <w:rsid w:val="00B073AE"/>
    <w:rsid w:val="00B15399"/>
    <w:rsid w:val="00B21AC9"/>
    <w:rsid w:val="00B27BFC"/>
    <w:rsid w:val="00B3109E"/>
    <w:rsid w:val="00B33232"/>
    <w:rsid w:val="00B33238"/>
    <w:rsid w:val="00B51682"/>
    <w:rsid w:val="00B63B41"/>
    <w:rsid w:val="00B73BEC"/>
    <w:rsid w:val="00B857EC"/>
    <w:rsid w:val="00B91586"/>
    <w:rsid w:val="00B91F34"/>
    <w:rsid w:val="00BA1FF9"/>
    <w:rsid w:val="00BA4A91"/>
    <w:rsid w:val="00BA7846"/>
    <w:rsid w:val="00BB6F32"/>
    <w:rsid w:val="00BC1A58"/>
    <w:rsid w:val="00BC1E96"/>
    <w:rsid w:val="00BC39F1"/>
    <w:rsid w:val="00BD067F"/>
    <w:rsid w:val="00BD0A0C"/>
    <w:rsid w:val="00BD5A13"/>
    <w:rsid w:val="00BE7851"/>
    <w:rsid w:val="00BF27AE"/>
    <w:rsid w:val="00BF39F1"/>
    <w:rsid w:val="00C0689D"/>
    <w:rsid w:val="00C10E68"/>
    <w:rsid w:val="00C1491B"/>
    <w:rsid w:val="00C16423"/>
    <w:rsid w:val="00C24B87"/>
    <w:rsid w:val="00C309DC"/>
    <w:rsid w:val="00C34874"/>
    <w:rsid w:val="00C359D3"/>
    <w:rsid w:val="00C35A41"/>
    <w:rsid w:val="00C432DE"/>
    <w:rsid w:val="00C44979"/>
    <w:rsid w:val="00C51A7E"/>
    <w:rsid w:val="00C52F77"/>
    <w:rsid w:val="00C74D89"/>
    <w:rsid w:val="00C765A4"/>
    <w:rsid w:val="00C77F45"/>
    <w:rsid w:val="00C822E7"/>
    <w:rsid w:val="00C87D89"/>
    <w:rsid w:val="00C962E9"/>
    <w:rsid w:val="00CC0E14"/>
    <w:rsid w:val="00CC18A1"/>
    <w:rsid w:val="00CC1CD7"/>
    <w:rsid w:val="00CD4FCC"/>
    <w:rsid w:val="00CD657E"/>
    <w:rsid w:val="00CD711B"/>
    <w:rsid w:val="00CE2A27"/>
    <w:rsid w:val="00CE49FA"/>
    <w:rsid w:val="00CF4281"/>
    <w:rsid w:val="00D11702"/>
    <w:rsid w:val="00D12AEC"/>
    <w:rsid w:val="00D14B72"/>
    <w:rsid w:val="00D21DBD"/>
    <w:rsid w:val="00D22581"/>
    <w:rsid w:val="00D24B96"/>
    <w:rsid w:val="00D36B2F"/>
    <w:rsid w:val="00D40BB7"/>
    <w:rsid w:val="00D43006"/>
    <w:rsid w:val="00D44F86"/>
    <w:rsid w:val="00D53077"/>
    <w:rsid w:val="00D550DB"/>
    <w:rsid w:val="00D63A6E"/>
    <w:rsid w:val="00D657AD"/>
    <w:rsid w:val="00D814E7"/>
    <w:rsid w:val="00D860F3"/>
    <w:rsid w:val="00D87BA4"/>
    <w:rsid w:val="00D906F2"/>
    <w:rsid w:val="00D91173"/>
    <w:rsid w:val="00D936E0"/>
    <w:rsid w:val="00D94F64"/>
    <w:rsid w:val="00D95F93"/>
    <w:rsid w:val="00D962AD"/>
    <w:rsid w:val="00DA5280"/>
    <w:rsid w:val="00DB468A"/>
    <w:rsid w:val="00DB46A0"/>
    <w:rsid w:val="00DC034E"/>
    <w:rsid w:val="00DC112B"/>
    <w:rsid w:val="00DC1CB7"/>
    <w:rsid w:val="00DD1166"/>
    <w:rsid w:val="00E04619"/>
    <w:rsid w:val="00E050B4"/>
    <w:rsid w:val="00E115A4"/>
    <w:rsid w:val="00E34A50"/>
    <w:rsid w:val="00E37C53"/>
    <w:rsid w:val="00E37E6F"/>
    <w:rsid w:val="00E419BE"/>
    <w:rsid w:val="00E53328"/>
    <w:rsid w:val="00E64C6B"/>
    <w:rsid w:val="00E66257"/>
    <w:rsid w:val="00E670CA"/>
    <w:rsid w:val="00E80978"/>
    <w:rsid w:val="00EA4BD1"/>
    <w:rsid w:val="00EA582E"/>
    <w:rsid w:val="00EA5DB2"/>
    <w:rsid w:val="00EB4727"/>
    <w:rsid w:val="00EC0E47"/>
    <w:rsid w:val="00EC74A8"/>
    <w:rsid w:val="00ED2CDC"/>
    <w:rsid w:val="00ED59D4"/>
    <w:rsid w:val="00F00F3E"/>
    <w:rsid w:val="00F13EC5"/>
    <w:rsid w:val="00F14700"/>
    <w:rsid w:val="00F171F2"/>
    <w:rsid w:val="00F2761E"/>
    <w:rsid w:val="00F64AE8"/>
    <w:rsid w:val="00F67266"/>
    <w:rsid w:val="00F76B9A"/>
    <w:rsid w:val="00F776F9"/>
    <w:rsid w:val="00F80CB5"/>
    <w:rsid w:val="00F84640"/>
    <w:rsid w:val="00F86578"/>
    <w:rsid w:val="00F912E1"/>
    <w:rsid w:val="00F95469"/>
    <w:rsid w:val="00F96F1D"/>
    <w:rsid w:val="00F97106"/>
    <w:rsid w:val="00FA1514"/>
    <w:rsid w:val="00FA7BA9"/>
    <w:rsid w:val="00FB1702"/>
    <w:rsid w:val="00FB3FDE"/>
    <w:rsid w:val="00FC1858"/>
    <w:rsid w:val="00FC1B16"/>
    <w:rsid w:val="00FD1D27"/>
    <w:rsid w:val="00FD730A"/>
    <w:rsid w:val="00FE0AF9"/>
    <w:rsid w:val="00FE1E8A"/>
    <w:rsid w:val="00FE25C0"/>
    <w:rsid w:val="00FE3E41"/>
    <w:rsid w:val="00FE6EA5"/>
    <w:rsid w:val="00FF0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
    <w:qFormat/>
    <w:rsid w:val="00166316"/>
    <w:pPr>
      <w:keepNext/>
      <w:keepLines/>
      <w:spacing w:before="240" w:after="300"/>
      <w:jc w:val="center"/>
      <w:outlineLvl w:val="0"/>
    </w:pPr>
    <w:rPr>
      <w:rFonts w:eastAsiaTheme="majorEastAsia" w:cstheme="majorBidi"/>
      <w:b/>
      <w:color w:val="0070C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5C"/>
    <w:pPr>
      <w:ind w:left="720"/>
      <w:contextualSpacing/>
    </w:pPr>
  </w:style>
  <w:style w:type="paragraph" w:styleId="BalloonText">
    <w:name w:val="Balloon Text"/>
    <w:basedOn w:val="Normal"/>
    <w:link w:val="BalloonTextChar"/>
    <w:uiPriority w:val="99"/>
    <w:semiHidden/>
    <w:unhideWhenUsed/>
    <w:rsid w:val="0092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79"/>
    <w:rPr>
      <w:rFonts w:ascii="Tahoma" w:hAnsi="Tahoma" w:cs="Tahoma"/>
      <w:sz w:val="16"/>
      <w:szCs w:val="16"/>
    </w:rPr>
  </w:style>
  <w:style w:type="paragraph" w:styleId="Header">
    <w:name w:val="header"/>
    <w:basedOn w:val="Normal"/>
    <w:link w:val="HeaderChar"/>
    <w:uiPriority w:val="99"/>
    <w:unhideWhenUsed/>
    <w:rsid w:val="0092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79"/>
  </w:style>
  <w:style w:type="paragraph" w:styleId="Footer">
    <w:name w:val="footer"/>
    <w:basedOn w:val="Normal"/>
    <w:link w:val="FooterChar"/>
    <w:uiPriority w:val="99"/>
    <w:unhideWhenUsed/>
    <w:rsid w:val="0092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79"/>
  </w:style>
  <w:style w:type="paragraph" w:styleId="FootnoteText">
    <w:name w:val="footnote text"/>
    <w:basedOn w:val="Normal"/>
    <w:link w:val="FootnoteTextChar"/>
    <w:uiPriority w:val="99"/>
    <w:semiHidden/>
    <w:unhideWhenUsed/>
    <w:rsid w:val="00C77F45"/>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C77F45"/>
    <w:rPr>
      <w:sz w:val="20"/>
      <w:szCs w:val="20"/>
      <w:lang w:val="en-CA"/>
    </w:rPr>
  </w:style>
  <w:style w:type="character" w:styleId="FootnoteReference">
    <w:name w:val="footnote reference"/>
    <w:basedOn w:val="DefaultParagraphFont"/>
    <w:uiPriority w:val="99"/>
    <w:semiHidden/>
    <w:unhideWhenUsed/>
    <w:rsid w:val="00C77F45"/>
    <w:rPr>
      <w:vertAlign w:val="superscript"/>
    </w:rPr>
  </w:style>
  <w:style w:type="character" w:customStyle="1" w:styleId="apple-converted-space">
    <w:name w:val="apple-converted-space"/>
    <w:basedOn w:val="DefaultParagraphFont"/>
    <w:rsid w:val="00875AE2"/>
  </w:style>
  <w:style w:type="table" w:styleId="TableGrid">
    <w:name w:val="Table Grid"/>
    <w:basedOn w:val="TableNormal"/>
    <w:uiPriority w:val="39"/>
    <w:rsid w:val="000C6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D7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1CE"/>
    <w:rPr>
      <w:sz w:val="20"/>
      <w:szCs w:val="20"/>
    </w:rPr>
  </w:style>
  <w:style w:type="character" w:styleId="EndnoteReference">
    <w:name w:val="endnote reference"/>
    <w:basedOn w:val="DefaultParagraphFont"/>
    <w:uiPriority w:val="99"/>
    <w:semiHidden/>
    <w:unhideWhenUsed/>
    <w:rsid w:val="000D71CE"/>
    <w:rPr>
      <w:vertAlign w:val="superscript"/>
    </w:rPr>
  </w:style>
  <w:style w:type="paragraph" w:styleId="Caption">
    <w:name w:val="caption"/>
    <w:basedOn w:val="Normal"/>
    <w:next w:val="Normal"/>
    <w:link w:val="CaptionChar"/>
    <w:autoRedefine/>
    <w:uiPriority w:val="35"/>
    <w:unhideWhenUsed/>
    <w:qFormat/>
    <w:rsid w:val="00166316"/>
    <w:pPr>
      <w:framePr w:hSpace="180" w:wrap="around" w:vAnchor="text" w:hAnchor="text" w:xAlign="center" w:y="1"/>
      <w:spacing w:before="120" w:after="120" w:line="240" w:lineRule="auto"/>
      <w:suppressOverlap/>
      <w:jc w:val="center"/>
    </w:pPr>
    <w:rPr>
      <w:b/>
      <w:iCs/>
      <w:color w:val="FFFFFF" w:themeColor="background1"/>
      <w:sz w:val="24"/>
      <w:szCs w:val="24"/>
    </w:rPr>
  </w:style>
  <w:style w:type="character" w:customStyle="1" w:styleId="CaptionChar">
    <w:name w:val="Caption Char"/>
    <w:basedOn w:val="DefaultParagraphFont"/>
    <w:link w:val="Caption"/>
    <w:uiPriority w:val="35"/>
    <w:rsid w:val="00166316"/>
    <w:rPr>
      <w:b/>
      <w:iCs/>
      <w:color w:val="FFFFFF" w:themeColor="background1"/>
      <w:sz w:val="24"/>
      <w:szCs w:val="24"/>
      <w:lang w:val="ro-RO"/>
    </w:rPr>
  </w:style>
  <w:style w:type="character" w:customStyle="1" w:styleId="Heading1Char">
    <w:name w:val="Heading 1 Char"/>
    <w:basedOn w:val="DefaultParagraphFont"/>
    <w:link w:val="Heading1"/>
    <w:uiPriority w:val="9"/>
    <w:rsid w:val="00166316"/>
    <w:rPr>
      <w:rFonts w:eastAsiaTheme="majorEastAsia" w:cstheme="majorBidi"/>
      <w:b/>
      <w:color w:val="0070C0"/>
      <w:sz w:val="40"/>
      <w:szCs w:val="3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
    <w:qFormat/>
    <w:rsid w:val="00166316"/>
    <w:pPr>
      <w:keepNext/>
      <w:keepLines/>
      <w:spacing w:before="240" w:after="300"/>
      <w:jc w:val="center"/>
      <w:outlineLvl w:val="0"/>
    </w:pPr>
    <w:rPr>
      <w:rFonts w:eastAsiaTheme="majorEastAsia" w:cstheme="majorBidi"/>
      <w:b/>
      <w:color w:val="0070C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5C"/>
    <w:pPr>
      <w:ind w:left="720"/>
      <w:contextualSpacing/>
    </w:pPr>
  </w:style>
  <w:style w:type="paragraph" w:styleId="BalloonText">
    <w:name w:val="Balloon Text"/>
    <w:basedOn w:val="Normal"/>
    <w:link w:val="BalloonTextChar"/>
    <w:uiPriority w:val="99"/>
    <w:semiHidden/>
    <w:unhideWhenUsed/>
    <w:rsid w:val="0092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79"/>
    <w:rPr>
      <w:rFonts w:ascii="Tahoma" w:hAnsi="Tahoma" w:cs="Tahoma"/>
      <w:sz w:val="16"/>
      <w:szCs w:val="16"/>
    </w:rPr>
  </w:style>
  <w:style w:type="paragraph" w:styleId="Header">
    <w:name w:val="header"/>
    <w:basedOn w:val="Normal"/>
    <w:link w:val="HeaderChar"/>
    <w:uiPriority w:val="99"/>
    <w:unhideWhenUsed/>
    <w:rsid w:val="0092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79"/>
  </w:style>
  <w:style w:type="paragraph" w:styleId="Footer">
    <w:name w:val="footer"/>
    <w:basedOn w:val="Normal"/>
    <w:link w:val="FooterChar"/>
    <w:uiPriority w:val="99"/>
    <w:unhideWhenUsed/>
    <w:rsid w:val="0092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79"/>
  </w:style>
  <w:style w:type="paragraph" w:styleId="FootnoteText">
    <w:name w:val="footnote text"/>
    <w:basedOn w:val="Normal"/>
    <w:link w:val="FootnoteTextChar"/>
    <w:uiPriority w:val="99"/>
    <w:semiHidden/>
    <w:unhideWhenUsed/>
    <w:rsid w:val="00C77F45"/>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C77F45"/>
    <w:rPr>
      <w:sz w:val="20"/>
      <w:szCs w:val="20"/>
      <w:lang w:val="en-CA"/>
    </w:rPr>
  </w:style>
  <w:style w:type="character" w:styleId="FootnoteReference">
    <w:name w:val="footnote reference"/>
    <w:basedOn w:val="DefaultParagraphFont"/>
    <w:uiPriority w:val="99"/>
    <w:semiHidden/>
    <w:unhideWhenUsed/>
    <w:rsid w:val="00C77F45"/>
    <w:rPr>
      <w:vertAlign w:val="superscript"/>
    </w:rPr>
  </w:style>
  <w:style w:type="character" w:customStyle="1" w:styleId="apple-converted-space">
    <w:name w:val="apple-converted-space"/>
    <w:basedOn w:val="DefaultParagraphFont"/>
    <w:rsid w:val="00875AE2"/>
  </w:style>
  <w:style w:type="table" w:styleId="TableGrid">
    <w:name w:val="Table Grid"/>
    <w:basedOn w:val="TableNormal"/>
    <w:uiPriority w:val="39"/>
    <w:rsid w:val="000C6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D7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1CE"/>
    <w:rPr>
      <w:sz w:val="20"/>
      <w:szCs w:val="20"/>
    </w:rPr>
  </w:style>
  <w:style w:type="character" w:styleId="EndnoteReference">
    <w:name w:val="endnote reference"/>
    <w:basedOn w:val="DefaultParagraphFont"/>
    <w:uiPriority w:val="99"/>
    <w:semiHidden/>
    <w:unhideWhenUsed/>
    <w:rsid w:val="000D71CE"/>
    <w:rPr>
      <w:vertAlign w:val="superscript"/>
    </w:rPr>
  </w:style>
  <w:style w:type="paragraph" w:styleId="Caption">
    <w:name w:val="caption"/>
    <w:basedOn w:val="Normal"/>
    <w:next w:val="Normal"/>
    <w:link w:val="CaptionChar"/>
    <w:autoRedefine/>
    <w:uiPriority w:val="35"/>
    <w:unhideWhenUsed/>
    <w:qFormat/>
    <w:rsid w:val="00166316"/>
    <w:pPr>
      <w:framePr w:hSpace="180" w:wrap="around" w:vAnchor="text" w:hAnchor="text" w:xAlign="center" w:y="1"/>
      <w:spacing w:before="120" w:after="120" w:line="240" w:lineRule="auto"/>
      <w:suppressOverlap/>
      <w:jc w:val="center"/>
    </w:pPr>
    <w:rPr>
      <w:b/>
      <w:iCs/>
      <w:color w:val="FFFFFF" w:themeColor="background1"/>
      <w:sz w:val="24"/>
      <w:szCs w:val="24"/>
    </w:rPr>
  </w:style>
  <w:style w:type="character" w:customStyle="1" w:styleId="CaptionChar">
    <w:name w:val="Caption Char"/>
    <w:basedOn w:val="DefaultParagraphFont"/>
    <w:link w:val="Caption"/>
    <w:uiPriority w:val="35"/>
    <w:rsid w:val="00166316"/>
    <w:rPr>
      <w:b/>
      <w:iCs/>
      <w:color w:val="FFFFFF" w:themeColor="background1"/>
      <w:sz w:val="24"/>
      <w:szCs w:val="24"/>
      <w:lang w:val="ro-RO"/>
    </w:rPr>
  </w:style>
  <w:style w:type="character" w:customStyle="1" w:styleId="Heading1Char">
    <w:name w:val="Heading 1 Char"/>
    <w:basedOn w:val="DefaultParagraphFont"/>
    <w:link w:val="Heading1"/>
    <w:uiPriority w:val="9"/>
    <w:rsid w:val="00166316"/>
    <w:rPr>
      <w:rFonts w:eastAsiaTheme="majorEastAsia" w:cstheme="majorBidi"/>
      <w:b/>
      <w:color w:val="0070C0"/>
      <w:sz w:val="40"/>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4386">
      <w:bodyDiv w:val="1"/>
      <w:marLeft w:val="0"/>
      <w:marRight w:val="0"/>
      <w:marTop w:val="0"/>
      <w:marBottom w:val="0"/>
      <w:divBdr>
        <w:top w:val="none" w:sz="0" w:space="0" w:color="auto"/>
        <w:left w:val="none" w:sz="0" w:space="0" w:color="auto"/>
        <w:bottom w:val="none" w:sz="0" w:space="0" w:color="auto"/>
        <w:right w:val="none" w:sz="0" w:space="0" w:color="auto"/>
      </w:divBdr>
    </w:div>
    <w:div w:id="127863344">
      <w:bodyDiv w:val="1"/>
      <w:marLeft w:val="0"/>
      <w:marRight w:val="0"/>
      <w:marTop w:val="0"/>
      <w:marBottom w:val="0"/>
      <w:divBdr>
        <w:top w:val="none" w:sz="0" w:space="0" w:color="auto"/>
        <w:left w:val="none" w:sz="0" w:space="0" w:color="auto"/>
        <w:bottom w:val="none" w:sz="0" w:space="0" w:color="auto"/>
        <w:right w:val="none" w:sz="0" w:space="0" w:color="auto"/>
      </w:divBdr>
    </w:div>
    <w:div w:id="484513336">
      <w:bodyDiv w:val="1"/>
      <w:marLeft w:val="0"/>
      <w:marRight w:val="0"/>
      <w:marTop w:val="0"/>
      <w:marBottom w:val="0"/>
      <w:divBdr>
        <w:top w:val="none" w:sz="0" w:space="0" w:color="auto"/>
        <w:left w:val="none" w:sz="0" w:space="0" w:color="auto"/>
        <w:bottom w:val="none" w:sz="0" w:space="0" w:color="auto"/>
        <w:right w:val="none" w:sz="0" w:space="0" w:color="auto"/>
      </w:divBdr>
    </w:div>
    <w:div w:id="767698072">
      <w:bodyDiv w:val="1"/>
      <w:marLeft w:val="0"/>
      <w:marRight w:val="0"/>
      <w:marTop w:val="0"/>
      <w:marBottom w:val="0"/>
      <w:divBdr>
        <w:top w:val="none" w:sz="0" w:space="0" w:color="auto"/>
        <w:left w:val="none" w:sz="0" w:space="0" w:color="auto"/>
        <w:bottom w:val="none" w:sz="0" w:space="0" w:color="auto"/>
        <w:right w:val="none" w:sz="0" w:space="0" w:color="auto"/>
      </w:divBdr>
    </w:div>
    <w:div w:id="1266815348">
      <w:bodyDiv w:val="1"/>
      <w:marLeft w:val="0"/>
      <w:marRight w:val="0"/>
      <w:marTop w:val="0"/>
      <w:marBottom w:val="0"/>
      <w:divBdr>
        <w:top w:val="none" w:sz="0" w:space="0" w:color="auto"/>
        <w:left w:val="none" w:sz="0" w:space="0" w:color="auto"/>
        <w:bottom w:val="none" w:sz="0" w:space="0" w:color="auto"/>
        <w:right w:val="none" w:sz="0" w:space="0" w:color="auto"/>
      </w:divBdr>
    </w:div>
    <w:div w:id="1456564480">
      <w:bodyDiv w:val="1"/>
      <w:marLeft w:val="0"/>
      <w:marRight w:val="0"/>
      <w:marTop w:val="0"/>
      <w:marBottom w:val="0"/>
      <w:divBdr>
        <w:top w:val="none" w:sz="0" w:space="0" w:color="auto"/>
        <w:left w:val="none" w:sz="0" w:space="0" w:color="auto"/>
        <w:bottom w:val="none" w:sz="0" w:space="0" w:color="auto"/>
        <w:right w:val="none" w:sz="0" w:space="0" w:color="auto"/>
      </w:divBdr>
    </w:div>
    <w:div w:id="19585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na%20CF\Desktop\Buget%202019\grafic%20investitii%20program%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814800959845256"/>
          <c:y val="0.15318530005481062"/>
          <c:w val="0.81610869199162739"/>
          <c:h val="0.44796960319262064"/>
        </c:manualLayout>
      </c:layout>
      <c:barChart>
        <c:barDir val="col"/>
        <c:grouping val="stacked"/>
        <c:varyColors val="0"/>
        <c:ser>
          <c:idx val="0"/>
          <c:order val="0"/>
          <c:tx>
            <c:strRef>
              <c:f>'Gr investitii buget 2019'!$B$11</c:f>
              <c:strCache>
                <c:ptCount val="1"/>
                <c:pt idx="0">
                  <c:v>Proiecte cu finanţare din fonduri externe nerambursabile postaderare</c:v>
                </c:pt>
              </c:strCache>
            </c:strRef>
          </c:tx>
          <c:spPr>
            <a:solidFill>
              <a:srgbClr val="002060"/>
            </a:solidFill>
            <a:ln w="25400">
              <a:solidFill>
                <a:srgbClr val="C00000"/>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B869-4511-AF76-23CA99A88F55}"/>
              </c:ext>
            </c:extLst>
          </c:dPt>
          <c:dPt>
            <c:idx val="1"/>
            <c:invertIfNegative val="0"/>
            <c:bubble3D val="0"/>
            <c:extLst xmlns:c16r2="http://schemas.microsoft.com/office/drawing/2015/06/chart">
              <c:ext xmlns:c16="http://schemas.microsoft.com/office/drawing/2014/chart" uri="{C3380CC4-5D6E-409C-BE32-E72D297353CC}">
                <c16:uniqueId val="{00000001-B869-4511-AF76-23CA99A88F55}"/>
              </c:ext>
            </c:extLst>
          </c:dPt>
          <c:dPt>
            <c:idx val="2"/>
            <c:invertIfNegative val="0"/>
            <c:bubble3D val="0"/>
            <c:extLst xmlns:c16r2="http://schemas.microsoft.com/office/drawing/2015/06/chart">
              <c:ext xmlns:c16="http://schemas.microsoft.com/office/drawing/2014/chart" uri="{C3380CC4-5D6E-409C-BE32-E72D297353CC}">
                <c16:uniqueId val="{00000002-B869-4511-AF76-23CA99A88F55}"/>
              </c:ext>
            </c:extLst>
          </c:dPt>
          <c:dPt>
            <c:idx val="3"/>
            <c:invertIfNegative val="0"/>
            <c:bubble3D val="0"/>
            <c:extLst xmlns:c16r2="http://schemas.microsoft.com/office/drawing/2015/06/chart">
              <c:ext xmlns:c16="http://schemas.microsoft.com/office/drawing/2014/chart" uri="{C3380CC4-5D6E-409C-BE32-E72D297353CC}">
                <c16:uniqueId val="{00000003-B869-4511-AF76-23CA99A88F55}"/>
              </c:ext>
            </c:extLst>
          </c:dPt>
          <c:dPt>
            <c:idx val="4"/>
            <c:invertIfNegative val="0"/>
            <c:bubble3D val="0"/>
            <c:extLst xmlns:c16r2="http://schemas.microsoft.com/office/drawing/2015/06/chart">
              <c:ext xmlns:c16="http://schemas.microsoft.com/office/drawing/2014/chart" uri="{C3380CC4-5D6E-409C-BE32-E72D297353CC}">
                <c16:uniqueId val="{00000004-B869-4511-AF76-23CA99A88F55}"/>
              </c:ext>
            </c:extLst>
          </c:dPt>
          <c:dPt>
            <c:idx val="5"/>
            <c:invertIfNegative val="0"/>
            <c:bubble3D val="0"/>
            <c:extLst xmlns:c16r2="http://schemas.microsoft.com/office/drawing/2015/06/chart">
              <c:ext xmlns:c16="http://schemas.microsoft.com/office/drawing/2014/chart" uri="{C3380CC4-5D6E-409C-BE32-E72D297353CC}">
                <c16:uniqueId val="{00000005-B869-4511-AF76-23CA99A88F55}"/>
              </c:ext>
            </c:extLst>
          </c:dPt>
          <c:dPt>
            <c:idx val="6"/>
            <c:invertIfNegative val="0"/>
            <c:bubble3D val="0"/>
            <c:extLst xmlns:c16r2="http://schemas.microsoft.com/office/drawing/2015/06/chart">
              <c:ext xmlns:c16="http://schemas.microsoft.com/office/drawing/2014/chart" uri="{C3380CC4-5D6E-409C-BE32-E72D297353CC}">
                <c16:uniqueId val="{00000006-B869-4511-AF76-23CA99A88F55}"/>
              </c:ext>
            </c:extLst>
          </c:dPt>
          <c:dPt>
            <c:idx val="7"/>
            <c:invertIfNegative val="0"/>
            <c:bubble3D val="0"/>
            <c:spPr>
              <a:solidFill>
                <a:srgbClr val="002060"/>
              </a:solidFill>
              <a:ln w="25400">
                <a:solidFill>
                  <a:srgbClr val="00B050"/>
                </a:solidFill>
              </a:ln>
            </c:spPr>
            <c:extLst xmlns:c16r2="http://schemas.microsoft.com/office/drawing/2015/06/chart">
              <c:ext xmlns:c16="http://schemas.microsoft.com/office/drawing/2014/chart" uri="{C3380CC4-5D6E-409C-BE32-E72D297353CC}">
                <c16:uniqueId val="{00000008-B869-4511-AF76-23CA99A88F55}"/>
              </c:ext>
            </c:extLst>
          </c:dPt>
          <c:dPt>
            <c:idx val="8"/>
            <c:invertIfNegative val="0"/>
            <c:bubble3D val="0"/>
            <c:extLst xmlns:c16r2="http://schemas.microsoft.com/office/drawing/2015/06/chart">
              <c:ext xmlns:c16="http://schemas.microsoft.com/office/drawing/2014/chart" uri="{C3380CC4-5D6E-409C-BE32-E72D297353CC}">
                <c16:uniqueId val="{00000009-B869-4511-AF76-23CA99A88F55}"/>
              </c:ext>
            </c:extLst>
          </c:dPt>
          <c:dPt>
            <c:idx val="9"/>
            <c:invertIfNegative val="0"/>
            <c:bubble3D val="0"/>
            <c:spPr>
              <a:solidFill>
                <a:srgbClr val="002060"/>
              </a:solidFill>
              <a:ln w="25400">
                <a:solidFill>
                  <a:srgbClr val="00B050"/>
                </a:solidFill>
              </a:ln>
            </c:spPr>
            <c:extLst xmlns:c16r2="http://schemas.microsoft.com/office/drawing/2015/06/chart">
              <c:ext xmlns:c16="http://schemas.microsoft.com/office/drawing/2014/chart" uri="{C3380CC4-5D6E-409C-BE32-E72D297353CC}">
                <c16:uniqueId val="{0000000B-B869-4511-AF76-23CA99A88F55}"/>
              </c:ext>
            </c:extLst>
          </c:dPt>
          <c:dPt>
            <c:idx val="10"/>
            <c:invertIfNegative val="0"/>
            <c:bubble3D val="0"/>
            <c:extLst xmlns:c16r2="http://schemas.microsoft.com/office/drawing/2015/06/chart">
              <c:ext xmlns:c16="http://schemas.microsoft.com/office/drawing/2014/chart" uri="{C3380CC4-5D6E-409C-BE32-E72D297353CC}">
                <c16:uniqueId val="{0000000C-B869-4511-AF76-23CA99A88F55}"/>
              </c:ext>
            </c:extLst>
          </c:dPt>
          <c:dPt>
            <c:idx val="11"/>
            <c:invertIfNegative val="0"/>
            <c:bubble3D val="0"/>
            <c:spPr>
              <a:solidFill>
                <a:srgbClr val="002060"/>
              </a:solidFill>
              <a:ln w="25400">
                <a:solidFill>
                  <a:srgbClr val="00B050"/>
                </a:solidFill>
              </a:ln>
            </c:spPr>
            <c:extLst xmlns:c16r2="http://schemas.microsoft.com/office/drawing/2015/06/chart">
              <c:ext xmlns:c16="http://schemas.microsoft.com/office/drawing/2014/chart" uri="{C3380CC4-5D6E-409C-BE32-E72D297353CC}">
                <c16:uniqueId val="{0000000E-B869-4511-AF76-23CA99A88F55}"/>
              </c:ext>
            </c:extLst>
          </c:dPt>
          <c:dPt>
            <c:idx val="12"/>
            <c:invertIfNegative val="0"/>
            <c:bubble3D val="0"/>
            <c:extLst xmlns:c16r2="http://schemas.microsoft.com/office/drawing/2015/06/chart">
              <c:ext xmlns:c16="http://schemas.microsoft.com/office/drawing/2014/chart" uri="{C3380CC4-5D6E-409C-BE32-E72D297353CC}">
                <c16:uniqueId val="{0000000F-B869-4511-AF76-23CA99A88F55}"/>
              </c:ext>
            </c:extLst>
          </c:dPt>
          <c:dPt>
            <c:idx val="13"/>
            <c:invertIfNegative val="0"/>
            <c:bubble3D val="0"/>
            <c:spPr>
              <a:solidFill>
                <a:srgbClr val="002060"/>
              </a:solidFill>
              <a:ln w="25400">
                <a:solidFill>
                  <a:srgbClr val="00B050"/>
                </a:solidFill>
              </a:ln>
            </c:spPr>
            <c:extLst xmlns:c16r2="http://schemas.microsoft.com/office/drawing/2015/06/chart">
              <c:ext xmlns:c16="http://schemas.microsoft.com/office/drawing/2014/chart" uri="{C3380CC4-5D6E-409C-BE32-E72D297353CC}">
                <c16:uniqueId val="{00000011-B869-4511-AF76-23CA99A88F55}"/>
              </c:ext>
            </c:extLst>
          </c:dPt>
          <c:cat>
            <c:strRef>
              <c:f>'Gr investitii buget 2019'!$C$4:$P$4</c:f>
              <c:strCache>
                <c:ptCount val="14"/>
                <c:pt idx="0">
                  <c:v>2009 </c:v>
                </c:pt>
                <c:pt idx="1">
                  <c:v>2010 </c:v>
                </c:pt>
                <c:pt idx="2">
                  <c:v>2011 </c:v>
                </c:pt>
                <c:pt idx="3">
                  <c:v>2012 </c:v>
                </c:pt>
                <c:pt idx="4">
                  <c:v>2013 </c:v>
                </c:pt>
                <c:pt idx="5">
                  <c:v>2014 </c:v>
                </c:pt>
                <c:pt idx="6">
                  <c:v>2015 </c:v>
                </c:pt>
                <c:pt idx="7">
                  <c:v>Program 2016</c:v>
                </c:pt>
                <c:pt idx="8">
                  <c:v>Execuție 2016</c:v>
                </c:pt>
                <c:pt idx="9">
                  <c:v>Program 2017</c:v>
                </c:pt>
                <c:pt idx="10">
                  <c:v>Execuţie 2017</c:v>
                </c:pt>
                <c:pt idx="11">
                  <c:v>Program 2018</c:v>
                </c:pt>
                <c:pt idx="12">
                  <c:v>Executie 2018</c:v>
                </c:pt>
                <c:pt idx="13">
                  <c:v>Program 2019</c:v>
                </c:pt>
              </c:strCache>
            </c:strRef>
          </c:cat>
          <c:val>
            <c:numRef>
              <c:f>'Gr investitii buget 2019'!$C$11:$P$11</c:f>
              <c:numCache>
                <c:formatCode>#,#00</c:formatCode>
                <c:ptCount val="14"/>
                <c:pt idx="0">
                  <c:v>2676</c:v>
                </c:pt>
                <c:pt idx="1">
                  <c:v>7235.7</c:v>
                </c:pt>
                <c:pt idx="2">
                  <c:v>10752.9</c:v>
                </c:pt>
                <c:pt idx="3">
                  <c:v>13217.9</c:v>
                </c:pt>
                <c:pt idx="4">
                  <c:v>13994.066709000001</c:v>
                </c:pt>
                <c:pt idx="5">
                  <c:v>18153.345000000001</c:v>
                </c:pt>
                <c:pt idx="6" formatCode="#.##00">
                  <c:v>23006.1</c:v>
                </c:pt>
                <c:pt idx="7" formatCode="#.##00">
                  <c:v>16919.601999999999</c:v>
                </c:pt>
                <c:pt idx="8" formatCode="#.##00">
                  <c:v>8211.4335250600016</c:v>
                </c:pt>
                <c:pt idx="9" formatCode="General">
                  <c:v>12710.795333333333</c:v>
                </c:pt>
                <c:pt idx="10" formatCode="General_)">
                  <c:v>7666.3</c:v>
                </c:pt>
                <c:pt idx="11" formatCode="General_)">
                  <c:v>15205.212999999996</c:v>
                </c:pt>
                <c:pt idx="12" formatCode="General_)">
                  <c:v>10826.2</c:v>
                </c:pt>
                <c:pt idx="13" formatCode="General_)">
                  <c:v>21237.744499999997</c:v>
                </c:pt>
              </c:numCache>
            </c:numRef>
          </c:val>
          <c:extLst xmlns:c16r2="http://schemas.microsoft.com/office/drawing/2015/06/chart">
            <c:ext xmlns:c16="http://schemas.microsoft.com/office/drawing/2014/chart" uri="{C3380CC4-5D6E-409C-BE32-E72D297353CC}">
              <c16:uniqueId val="{00000015-B869-4511-AF76-23CA99A88F55}"/>
            </c:ext>
          </c:extLst>
        </c:ser>
        <c:ser>
          <c:idx val="1"/>
          <c:order val="1"/>
          <c:tx>
            <c:strRef>
              <c:f>'Gr investitii buget 2019'!$B$12</c:f>
              <c:strCache>
                <c:ptCount val="1"/>
                <c:pt idx="0">
                  <c:v>Fonduri proprii și împrumutate</c:v>
                </c:pt>
              </c:strCache>
            </c:strRef>
          </c:tx>
          <c:spPr>
            <a:solidFill>
              <a:schemeClr val="accent1"/>
            </a:solidFill>
            <a:ln w="25400">
              <a:solidFill>
                <a:srgbClr val="C00000"/>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16-B869-4511-AF76-23CA99A88F55}"/>
              </c:ext>
            </c:extLst>
          </c:dPt>
          <c:dPt>
            <c:idx val="1"/>
            <c:invertIfNegative val="0"/>
            <c:bubble3D val="0"/>
            <c:extLst xmlns:c16r2="http://schemas.microsoft.com/office/drawing/2015/06/chart">
              <c:ext xmlns:c16="http://schemas.microsoft.com/office/drawing/2014/chart" uri="{C3380CC4-5D6E-409C-BE32-E72D297353CC}">
                <c16:uniqueId val="{00000017-B869-4511-AF76-23CA99A88F55}"/>
              </c:ext>
            </c:extLst>
          </c:dPt>
          <c:dPt>
            <c:idx val="2"/>
            <c:invertIfNegative val="0"/>
            <c:bubble3D val="0"/>
            <c:extLst xmlns:c16r2="http://schemas.microsoft.com/office/drawing/2015/06/chart">
              <c:ext xmlns:c16="http://schemas.microsoft.com/office/drawing/2014/chart" uri="{C3380CC4-5D6E-409C-BE32-E72D297353CC}">
                <c16:uniqueId val="{00000018-B869-4511-AF76-23CA99A88F55}"/>
              </c:ext>
            </c:extLst>
          </c:dPt>
          <c:dPt>
            <c:idx val="3"/>
            <c:invertIfNegative val="0"/>
            <c:bubble3D val="0"/>
            <c:extLst xmlns:c16r2="http://schemas.microsoft.com/office/drawing/2015/06/chart">
              <c:ext xmlns:c16="http://schemas.microsoft.com/office/drawing/2014/chart" uri="{C3380CC4-5D6E-409C-BE32-E72D297353CC}">
                <c16:uniqueId val="{00000019-B869-4511-AF76-23CA99A88F55}"/>
              </c:ext>
            </c:extLst>
          </c:dPt>
          <c:dPt>
            <c:idx val="4"/>
            <c:invertIfNegative val="0"/>
            <c:bubble3D val="0"/>
            <c:extLst xmlns:c16r2="http://schemas.microsoft.com/office/drawing/2015/06/chart">
              <c:ext xmlns:c16="http://schemas.microsoft.com/office/drawing/2014/chart" uri="{C3380CC4-5D6E-409C-BE32-E72D297353CC}">
                <c16:uniqueId val="{0000001A-B869-4511-AF76-23CA99A88F55}"/>
              </c:ext>
            </c:extLst>
          </c:dPt>
          <c:dPt>
            <c:idx val="5"/>
            <c:invertIfNegative val="0"/>
            <c:bubble3D val="0"/>
            <c:extLst xmlns:c16r2="http://schemas.microsoft.com/office/drawing/2015/06/chart">
              <c:ext xmlns:c16="http://schemas.microsoft.com/office/drawing/2014/chart" uri="{C3380CC4-5D6E-409C-BE32-E72D297353CC}">
                <c16:uniqueId val="{0000001B-B869-4511-AF76-23CA99A88F55}"/>
              </c:ext>
            </c:extLst>
          </c:dPt>
          <c:dPt>
            <c:idx val="6"/>
            <c:invertIfNegative val="0"/>
            <c:bubble3D val="0"/>
            <c:extLst xmlns:c16r2="http://schemas.microsoft.com/office/drawing/2015/06/chart">
              <c:ext xmlns:c16="http://schemas.microsoft.com/office/drawing/2014/chart" uri="{C3380CC4-5D6E-409C-BE32-E72D297353CC}">
                <c16:uniqueId val="{0000001C-B869-4511-AF76-23CA99A88F55}"/>
              </c:ext>
            </c:extLst>
          </c:dPt>
          <c:dPt>
            <c:idx val="7"/>
            <c:invertIfNegative val="0"/>
            <c:bubble3D val="0"/>
            <c:spPr>
              <a:solidFill>
                <a:schemeClr val="accent1"/>
              </a:solidFill>
              <a:ln w="25400">
                <a:solidFill>
                  <a:srgbClr val="00B050"/>
                </a:solidFill>
              </a:ln>
            </c:spPr>
            <c:extLst xmlns:c16r2="http://schemas.microsoft.com/office/drawing/2015/06/chart">
              <c:ext xmlns:c16="http://schemas.microsoft.com/office/drawing/2014/chart" uri="{C3380CC4-5D6E-409C-BE32-E72D297353CC}">
                <c16:uniqueId val="{0000001E-B869-4511-AF76-23CA99A88F55}"/>
              </c:ext>
            </c:extLst>
          </c:dPt>
          <c:dPt>
            <c:idx val="8"/>
            <c:invertIfNegative val="0"/>
            <c:bubble3D val="0"/>
            <c:extLst xmlns:c16r2="http://schemas.microsoft.com/office/drawing/2015/06/chart">
              <c:ext xmlns:c16="http://schemas.microsoft.com/office/drawing/2014/chart" uri="{C3380CC4-5D6E-409C-BE32-E72D297353CC}">
                <c16:uniqueId val="{0000001F-B869-4511-AF76-23CA99A88F55}"/>
              </c:ext>
            </c:extLst>
          </c:dPt>
          <c:dPt>
            <c:idx val="9"/>
            <c:invertIfNegative val="0"/>
            <c:bubble3D val="0"/>
            <c:spPr>
              <a:solidFill>
                <a:schemeClr val="accent1"/>
              </a:solidFill>
              <a:ln w="25400">
                <a:solidFill>
                  <a:srgbClr val="00B050"/>
                </a:solidFill>
              </a:ln>
            </c:spPr>
            <c:extLst xmlns:c16r2="http://schemas.microsoft.com/office/drawing/2015/06/chart">
              <c:ext xmlns:c16="http://schemas.microsoft.com/office/drawing/2014/chart" uri="{C3380CC4-5D6E-409C-BE32-E72D297353CC}">
                <c16:uniqueId val="{00000021-B869-4511-AF76-23CA99A88F55}"/>
              </c:ext>
            </c:extLst>
          </c:dPt>
          <c:dPt>
            <c:idx val="10"/>
            <c:invertIfNegative val="0"/>
            <c:bubble3D val="0"/>
            <c:extLst xmlns:c16r2="http://schemas.microsoft.com/office/drawing/2015/06/chart">
              <c:ext xmlns:c16="http://schemas.microsoft.com/office/drawing/2014/chart" uri="{C3380CC4-5D6E-409C-BE32-E72D297353CC}">
                <c16:uniqueId val="{00000022-B869-4511-AF76-23CA99A88F55}"/>
              </c:ext>
            </c:extLst>
          </c:dPt>
          <c:dPt>
            <c:idx val="11"/>
            <c:invertIfNegative val="0"/>
            <c:bubble3D val="0"/>
            <c:spPr>
              <a:solidFill>
                <a:schemeClr val="accent1"/>
              </a:solidFill>
              <a:ln w="25400">
                <a:solidFill>
                  <a:srgbClr val="00B050"/>
                </a:solidFill>
              </a:ln>
            </c:spPr>
            <c:extLst xmlns:c16r2="http://schemas.microsoft.com/office/drawing/2015/06/chart">
              <c:ext xmlns:c16="http://schemas.microsoft.com/office/drawing/2014/chart" uri="{C3380CC4-5D6E-409C-BE32-E72D297353CC}">
                <c16:uniqueId val="{00000024-B869-4511-AF76-23CA99A88F55}"/>
              </c:ext>
            </c:extLst>
          </c:dPt>
          <c:dPt>
            <c:idx val="12"/>
            <c:invertIfNegative val="0"/>
            <c:bubble3D val="0"/>
            <c:extLst xmlns:c16r2="http://schemas.microsoft.com/office/drawing/2015/06/chart">
              <c:ext xmlns:c16="http://schemas.microsoft.com/office/drawing/2014/chart" uri="{C3380CC4-5D6E-409C-BE32-E72D297353CC}">
                <c16:uniqueId val="{00000025-B869-4511-AF76-23CA99A88F55}"/>
              </c:ext>
            </c:extLst>
          </c:dPt>
          <c:dPt>
            <c:idx val="13"/>
            <c:invertIfNegative val="0"/>
            <c:bubble3D val="0"/>
            <c:spPr>
              <a:solidFill>
                <a:schemeClr val="accent1"/>
              </a:solidFill>
              <a:ln w="25400">
                <a:solidFill>
                  <a:srgbClr val="00B050"/>
                </a:solidFill>
              </a:ln>
            </c:spPr>
            <c:extLst xmlns:c16r2="http://schemas.microsoft.com/office/drawing/2015/06/chart">
              <c:ext xmlns:c16="http://schemas.microsoft.com/office/drawing/2014/chart" uri="{C3380CC4-5D6E-409C-BE32-E72D297353CC}">
                <c16:uniqueId val="{00000027-B869-4511-AF76-23CA99A88F55}"/>
              </c:ext>
            </c:extLst>
          </c:dPt>
          <c:cat>
            <c:strRef>
              <c:f>'Gr investitii buget 2019'!$C$4:$P$4</c:f>
              <c:strCache>
                <c:ptCount val="14"/>
                <c:pt idx="0">
                  <c:v>2009 </c:v>
                </c:pt>
                <c:pt idx="1">
                  <c:v>2010 </c:v>
                </c:pt>
                <c:pt idx="2">
                  <c:v>2011 </c:v>
                </c:pt>
                <c:pt idx="3">
                  <c:v>2012 </c:v>
                </c:pt>
                <c:pt idx="4">
                  <c:v>2013 </c:v>
                </c:pt>
                <c:pt idx="5">
                  <c:v>2014 </c:v>
                </c:pt>
                <c:pt idx="6">
                  <c:v>2015 </c:v>
                </c:pt>
                <c:pt idx="7">
                  <c:v>Program 2016</c:v>
                </c:pt>
                <c:pt idx="8">
                  <c:v>Execuție 2016</c:v>
                </c:pt>
                <c:pt idx="9">
                  <c:v>Program 2017</c:v>
                </c:pt>
                <c:pt idx="10">
                  <c:v>Execuţie 2017</c:v>
                </c:pt>
                <c:pt idx="11">
                  <c:v>Program 2018</c:v>
                </c:pt>
                <c:pt idx="12">
                  <c:v>Executie 2018</c:v>
                </c:pt>
                <c:pt idx="13">
                  <c:v>Program 2019</c:v>
                </c:pt>
              </c:strCache>
            </c:strRef>
          </c:cat>
          <c:val>
            <c:numRef>
              <c:f>'Gr investitii buget 2019'!$C$12:$P$12</c:f>
              <c:numCache>
                <c:formatCode>0.00</c:formatCode>
                <c:ptCount val="14"/>
                <c:pt idx="0">
                  <c:v>32788.400000000001</c:v>
                </c:pt>
                <c:pt idx="1">
                  <c:v>26613.3</c:v>
                </c:pt>
                <c:pt idx="2">
                  <c:v>28384.800000000003</c:v>
                </c:pt>
                <c:pt idx="3">
                  <c:v>22237.599999999999</c:v>
                </c:pt>
                <c:pt idx="4">
                  <c:v>17619.633290999998</c:v>
                </c:pt>
                <c:pt idx="5">
                  <c:v>14207.954846999997</c:v>
                </c:pt>
                <c:pt idx="6">
                  <c:v>18562.099999999999</c:v>
                </c:pt>
                <c:pt idx="7">
                  <c:v>20738.231</c:v>
                </c:pt>
                <c:pt idx="8">
                  <c:v>21323.773279000001</c:v>
                </c:pt>
                <c:pt idx="9">
                  <c:v>26724.596999999994</c:v>
                </c:pt>
                <c:pt idx="10">
                  <c:v>19069.100000000002</c:v>
                </c:pt>
                <c:pt idx="11">
                  <c:v>24182.887000000002</c:v>
                </c:pt>
                <c:pt idx="12">
                  <c:v>23402.900000000005</c:v>
                </c:pt>
                <c:pt idx="13">
                  <c:v>25951.635160000002</c:v>
                </c:pt>
              </c:numCache>
            </c:numRef>
          </c:val>
          <c:extLst xmlns:c16r2="http://schemas.microsoft.com/office/drawing/2015/06/chart">
            <c:ext xmlns:c16="http://schemas.microsoft.com/office/drawing/2014/chart" uri="{C3380CC4-5D6E-409C-BE32-E72D297353CC}">
              <c16:uniqueId val="{0000002F-B869-4511-AF76-23CA99A88F55}"/>
            </c:ext>
          </c:extLst>
        </c:ser>
        <c:dLbls>
          <c:showLegendKey val="0"/>
          <c:showVal val="0"/>
          <c:showCatName val="0"/>
          <c:showSerName val="0"/>
          <c:showPercent val="0"/>
          <c:showBubbleSize val="0"/>
        </c:dLbls>
        <c:gapWidth val="150"/>
        <c:overlap val="100"/>
        <c:axId val="171191680"/>
        <c:axId val="171197568"/>
      </c:barChart>
      <c:lineChart>
        <c:grouping val="standard"/>
        <c:varyColors val="0"/>
        <c:ser>
          <c:idx val="2"/>
          <c:order val="2"/>
          <c:tx>
            <c:strRef>
              <c:f>'Gr investitii buget 2019'!$B$9</c:f>
              <c:strCache>
                <c:ptCount val="1"/>
                <c:pt idx="0">
                  <c:v>Cheltuieli pentru investiții, % din PIB (scala din dreapta)</c:v>
                </c:pt>
              </c:strCache>
            </c:strRef>
          </c:tx>
          <c:spPr>
            <a:ln w="22225">
              <a:solidFill>
                <a:srgbClr val="C00000"/>
              </a:solidFill>
            </a:ln>
          </c:spPr>
          <c:marker>
            <c:symbol val="triangle"/>
            <c:size val="5"/>
            <c:spPr>
              <a:solidFill>
                <a:srgbClr val="C00000"/>
              </a:solidFill>
              <a:ln>
                <a:solidFill>
                  <a:schemeClr val="accent2">
                    <a:lumMod val="75000"/>
                  </a:schemeClr>
                </a:solidFill>
              </a:ln>
            </c:spPr>
          </c:marker>
          <c:dLbls>
            <c:dLbl>
              <c:idx val="6"/>
              <c:layout>
                <c:manualLayout>
                  <c:x val="-4.5791644236822741E-2"/>
                  <c:y val="-8.0092509658703528E-2"/>
                </c:manualLayout>
              </c:layout>
              <c:numFmt formatCode="#,##0.0" sourceLinked="0"/>
              <c:spPr>
                <a:noFill/>
                <a:ln w="25400">
                  <a:noFill/>
                </a:ln>
              </c:spPr>
              <c:txPr>
                <a:bodyPr wrap="square" lIns="38100" tIns="19050" rIns="38100" bIns="19050" anchor="ctr">
                  <a:noAutofit/>
                </a:bodyPr>
                <a:lstStyle/>
                <a:p>
                  <a:pPr>
                    <a:defRPr sz="900" b="1" i="0" u="none" strike="noStrike" baseline="0">
                      <a:solidFill>
                        <a:srgbClr val="000000"/>
                      </a:solidFill>
                      <a:latin typeface="Calibri"/>
                      <a:ea typeface="Calibri"/>
                      <a:cs typeface="Calibri"/>
                    </a:defRPr>
                  </a:pPr>
                  <a:endParaRPr lang="ro-RO"/>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3255718469721981E-2"/>
                      <c:h val="7.9583973904789912E-2"/>
                    </c:manualLayout>
                  </c15:layout>
                </c:ext>
                <c:ext xmlns:c16="http://schemas.microsoft.com/office/drawing/2014/chart" uri="{C3380CC4-5D6E-409C-BE32-E72D297353CC}">
                  <c16:uniqueId val="{00000030-B869-4511-AF76-23CA99A88F55}"/>
                </c:ext>
              </c:extLst>
            </c:dLbl>
            <c:dLbl>
              <c:idx val="8"/>
              <c:layout>
                <c:manualLayout>
                  <c:x val="-5.517650386401584E-2"/>
                  <c:y val="-8.3725251661029662E-2"/>
                </c:manualLayout>
              </c:layout>
              <c:numFmt formatCode="#,##0.0" sourceLinked="0"/>
              <c:spPr>
                <a:noFill/>
                <a:ln w="25400">
                  <a:noFill/>
                </a:ln>
              </c:spPr>
              <c:txPr>
                <a:bodyPr wrap="square" lIns="38100" tIns="19050" rIns="38100" bIns="19050" anchor="ctr">
                  <a:noAutofit/>
                </a:bodyPr>
                <a:lstStyle/>
                <a:p>
                  <a:pPr>
                    <a:defRPr sz="900" b="1" i="0" u="none" strike="noStrike" baseline="0">
                      <a:solidFill>
                        <a:srgbClr val="000000"/>
                      </a:solidFill>
                      <a:latin typeface="Calibri"/>
                      <a:ea typeface="Calibri"/>
                      <a:cs typeface="Calibri"/>
                    </a:defRPr>
                  </a:pPr>
                  <a:endParaRPr lang="ro-RO"/>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8.2755814271767592E-2"/>
                      <c:h val="0.10301137654906889"/>
                    </c:manualLayout>
                  </c15:layout>
                </c:ext>
                <c:ext xmlns:c16="http://schemas.microsoft.com/office/drawing/2014/chart" uri="{C3380CC4-5D6E-409C-BE32-E72D297353CC}">
                  <c16:uniqueId val="{00000031-B869-4511-AF76-23CA99A88F55}"/>
                </c:ext>
              </c:extLst>
            </c:dLbl>
            <c:dLbl>
              <c:idx val="10"/>
              <c:layout>
                <c:manualLayout>
                  <c:x val="-2.48480722428732E-2"/>
                  <c:y val="-0.1015687451246519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B869-4511-AF76-23CA99A88F55}"/>
                </c:ext>
              </c:extLst>
            </c:dLbl>
            <c:dLbl>
              <c:idx val="12"/>
              <c:layout>
                <c:manualLayout>
                  <c:x val="-3.1800622257096026E-2"/>
                  <c:y val="-4.918236889584553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B869-4511-AF76-23CA99A88F55}"/>
                </c:ext>
              </c:extLst>
            </c:dLbl>
            <c:dLbl>
              <c:idx val="19"/>
              <c:numFmt formatCode="#,##0.0" sourceLinked="0"/>
              <c:spPr>
                <a:noFill/>
                <a:ln w="25400">
                  <a:noFill/>
                </a:ln>
              </c:spPr>
              <c:txPr>
                <a:bodyPr/>
                <a:lstStyle/>
                <a:p>
                  <a:pPr>
                    <a:defRPr sz="900" b="1" i="0" u="none" strike="noStrike" baseline="0">
                      <a:solidFill>
                        <a:srgbClr val="000000"/>
                      </a:solidFill>
                      <a:latin typeface="Calibri"/>
                      <a:ea typeface="Calibri"/>
                      <a:cs typeface="Calibri"/>
                    </a:defRPr>
                  </a:pPr>
                  <a:endParaRPr lang="ro-RO"/>
                </a:p>
              </c:txPr>
              <c:dLblPos val="t"/>
              <c:showLegendKey val="0"/>
              <c:showVal val="1"/>
              <c:showCatName val="0"/>
              <c:showSerName val="0"/>
              <c:showPercent val="0"/>
              <c:showBubbleSize val="0"/>
            </c:dLbl>
            <c:dLbl>
              <c:idx val="20"/>
              <c:numFmt formatCode="#,##0.0" sourceLinked="0"/>
              <c:spPr>
                <a:noFill/>
                <a:ln w="25400">
                  <a:noFill/>
                </a:ln>
              </c:spPr>
              <c:txPr>
                <a:bodyPr/>
                <a:lstStyle/>
                <a:p>
                  <a:pPr>
                    <a:defRPr sz="900" b="1" i="0" u="none" strike="noStrike" baseline="0">
                      <a:solidFill>
                        <a:srgbClr val="000000"/>
                      </a:solidFill>
                      <a:latin typeface="Calibri"/>
                      <a:ea typeface="Calibri"/>
                      <a:cs typeface="Calibri"/>
                    </a:defRPr>
                  </a:pPr>
                  <a:endParaRPr lang="ro-RO"/>
                </a:p>
              </c:txPr>
              <c:dLblPos val="t"/>
              <c:showLegendKey val="0"/>
              <c:showVal val="1"/>
              <c:showCatName val="0"/>
              <c:showSerName val="0"/>
              <c:showPercent val="0"/>
              <c:showBubbleSize val="0"/>
            </c:dLbl>
            <c:dLbl>
              <c:idx val="24"/>
              <c:numFmt formatCode="#,##0.0" sourceLinked="0"/>
              <c:spPr>
                <a:noFill/>
                <a:ln w="25400">
                  <a:noFill/>
                </a:ln>
              </c:spPr>
              <c:txPr>
                <a:bodyPr/>
                <a:lstStyle/>
                <a:p>
                  <a:pPr>
                    <a:defRPr sz="900" b="1" i="0" u="none" strike="noStrike" baseline="0">
                      <a:solidFill>
                        <a:srgbClr val="000000"/>
                      </a:solidFill>
                      <a:latin typeface="Calibri"/>
                      <a:ea typeface="Calibri"/>
                      <a:cs typeface="Calibri"/>
                    </a:defRPr>
                  </a:pPr>
                  <a:endParaRPr lang="ro-RO"/>
                </a:p>
              </c:txPr>
              <c:dLblPos val="t"/>
              <c:showLegendKey val="0"/>
              <c:showVal val="1"/>
              <c:showCatName val="0"/>
              <c:showSerName val="0"/>
              <c:showPercent val="0"/>
              <c:showBubbleSize val="0"/>
            </c:dLbl>
            <c:numFmt formatCode="#,##0.0" sourceLinked="0"/>
            <c:spPr>
              <a:noFill/>
              <a:ln w="25400">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ro-R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 investitii buget 2019'!$C$4:$P$4</c:f>
              <c:strCache>
                <c:ptCount val="14"/>
                <c:pt idx="0">
                  <c:v>2009 </c:v>
                </c:pt>
                <c:pt idx="1">
                  <c:v>2010 </c:v>
                </c:pt>
                <c:pt idx="2">
                  <c:v>2011 </c:v>
                </c:pt>
                <c:pt idx="3">
                  <c:v>2012 </c:v>
                </c:pt>
                <c:pt idx="4">
                  <c:v>2013 </c:v>
                </c:pt>
                <c:pt idx="5">
                  <c:v>2014 </c:v>
                </c:pt>
                <c:pt idx="6">
                  <c:v>2015 </c:v>
                </c:pt>
                <c:pt idx="7">
                  <c:v>Program 2016</c:v>
                </c:pt>
                <c:pt idx="8">
                  <c:v>Execuție 2016</c:v>
                </c:pt>
                <c:pt idx="9">
                  <c:v>Program 2017</c:v>
                </c:pt>
                <c:pt idx="10">
                  <c:v>Execuţie 2017</c:v>
                </c:pt>
                <c:pt idx="11">
                  <c:v>Program 2018</c:v>
                </c:pt>
                <c:pt idx="12">
                  <c:v>Executie 2018</c:v>
                </c:pt>
                <c:pt idx="13">
                  <c:v>Program 2019</c:v>
                </c:pt>
              </c:strCache>
            </c:strRef>
          </c:cat>
          <c:val>
            <c:numRef>
              <c:f>'Gr investitii buget 2019'!$C$9:$P$9</c:f>
              <c:numCache>
                <c:formatCode>0.00</c:formatCode>
                <c:ptCount val="14"/>
                <c:pt idx="0">
                  <c:v>6.7378582082902607</c:v>
                </c:pt>
                <c:pt idx="1">
                  <c:v>6.40779786728557</c:v>
                </c:pt>
                <c:pt idx="2">
                  <c:v>6.9983127245885886</c:v>
                </c:pt>
                <c:pt idx="3">
                  <c:v>5.9715240384348176</c:v>
                </c:pt>
                <c:pt idx="4">
                  <c:v>4.9749362429763408</c:v>
                </c:pt>
                <c:pt idx="5">
                  <c:v>4.8402301869261901</c:v>
                </c:pt>
                <c:pt idx="6">
                  <c:v>5.8334144929228362</c:v>
                </c:pt>
                <c:pt idx="7">
                  <c:v>4.9217214364934616</c:v>
                </c:pt>
                <c:pt idx="8">
                  <c:v>3.8601281294866245</c:v>
                </c:pt>
                <c:pt idx="9">
                  <c:v>4.5926688915296969</c:v>
                </c:pt>
                <c:pt idx="10">
                  <c:v>3.1136203450121562</c:v>
                </c:pt>
                <c:pt idx="11">
                  <c:v>4.1478622577927542</c:v>
                </c:pt>
                <c:pt idx="12">
                  <c:v>3.6045808761583831</c:v>
                </c:pt>
                <c:pt idx="13">
                  <c:v>4.6150982552567239</c:v>
                </c:pt>
              </c:numCache>
            </c:numRef>
          </c:val>
          <c:smooth val="0"/>
          <c:extLst xmlns:c16r2="http://schemas.microsoft.com/office/drawing/2015/06/chart">
            <c:ext xmlns:c16="http://schemas.microsoft.com/office/drawing/2014/chart" uri="{C3380CC4-5D6E-409C-BE32-E72D297353CC}">
              <c16:uniqueId val="{00000037-B869-4511-AF76-23CA99A88F55}"/>
            </c:ext>
          </c:extLst>
        </c:ser>
        <c:dLbls>
          <c:showLegendKey val="0"/>
          <c:showVal val="0"/>
          <c:showCatName val="0"/>
          <c:showSerName val="0"/>
          <c:showPercent val="0"/>
          <c:showBubbleSize val="0"/>
        </c:dLbls>
        <c:marker val="1"/>
        <c:smooth val="0"/>
        <c:axId val="171199488"/>
        <c:axId val="171205376"/>
      </c:lineChart>
      <c:catAx>
        <c:axId val="171191680"/>
        <c:scaling>
          <c:orientation val="minMax"/>
        </c:scaling>
        <c:delete val="0"/>
        <c:axPos val="b"/>
        <c:numFmt formatCode="General" sourceLinked="0"/>
        <c:majorTickMark val="out"/>
        <c:minorTickMark val="none"/>
        <c:tickLblPos val="nextTo"/>
        <c:txPr>
          <a:bodyPr rot="-2700000" vert="horz"/>
          <a:lstStyle/>
          <a:p>
            <a:pPr>
              <a:defRPr sz="900" b="0" i="0" u="none" strike="noStrike" baseline="0">
                <a:solidFill>
                  <a:srgbClr val="000000"/>
                </a:solidFill>
                <a:latin typeface="Calibri"/>
                <a:ea typeface="Calibri"/>
                <a:cs typeface="Calibri"/>
              </a:defRPr>
            </a:pPr>
            <a:endParaRPr lang="ro-RO"/>
          </a:p>
        </c:txPr>
        <c:crossAx val="171197568"/>
        <c:crosses val="autoZero"/>
        <c:auto val="1"/>
        <c:lblAlgn val="ctr"/>
        <c:lblOffset val="100"/>
        <c:noMultiLvlLbl val="0"/>
      </c:catAx>
      <c:valAx>
        <c:axId val="171197568"/>
        <c:scaling>
          <c:orientation val="minMax"/>
          <c:max val="50000"/>
          <c:min val="0"/>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milioane lei</a:t>
                </a:r>
              </a:p>
            </c:rich>
          </c:tx>
          <c:overlay val="0"/>
        </c:title>
        <c:numFmt formatCode="#,##0" sourceLinked="0"/>
        <c:majorTickMark val="out"/>
        <c:minorTickMark val="none"/>
        <c:tickLblPos val="nextTo"/>
        <c:txPr>
          <a:bodyPr rot="0" vert="horz"/>
          <a:lstStyle/>
          <a:p>
            <a:pPr>
              <a:defRPr sz="900" b="0" i="0" u="none" strike="noStrike" baseline="0">
                <a:solidFill>
                  <a:srgbClr val="000000"/>
                </a:solidFill>
                <a:latin typeface="Calibri"/>
                <a:ea typeface="Calibri"/>
                <a:cs typeface="Calibri"/>
              </a:defRPr>
            </a:pPr>
            <a:endParaRPr lang="ro-RO"/>
          </a:p>
        </c:txPr>
        <c:crossAx val="171191680"/>
        <c:crosses val="autoZero"/>
        <c:crossBetween val="between"/>
        <c:majorUnit val="5000"/>
        <c:minorUnit val="1000"/>
      </c:valAx>
      <c:catAx>
        <c:axId val="171199488"/>
        <c:scaling>
          <c:orientation val="minMax"/>
        </c:scaling>
        <c:delete val="1"/>
        <c:axPos val="b"/>
        <c:numFmt formatCode="General" sourceLinked="1"/>
        <c:majorTickMark val="out"/>
        <c:minorTickMark val="none"/>
        <c:tickLblPos val="nextTo"/>
        <c:crossAx val="171205376"/>
        <c:crosses val="autoZero"/>
        <c:auto val="1"/>
        <c:lblAlgn val="ctr"/>
        <c:lblOffset val="100"/>
        <c:noMultiLvlLbl val="0"/>
      </c:catAx>
      <c:valAx>
        <c:axId val="171205376"/>
        <c:scaling>
          <c:orientation val="minMax"/>
        </c:scaling>
        <c:delete val="0"/>
        <c:axPos val="r"/>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o-RO"/>
          </a:p>
        </c:txPr>
        <c:crossAx val="171199488"/>
        <c:crosses val="max"/>
        <c:crossBetween val="between"/>
      </c:valAx>
    </c:plotArea>
    <c:legend>
      <c:legendPos val="b"/>
      <c:layout>
        <c:manualLayout>
          <c:xMode val="edge"/>
          <c:yMode val="edge"/>
          <c:x val="1.4353153712101165E-2"/>
          <c:y val="0.80446178294481019"/>
          <c:w val="0.80719956934699499"/>
          <c:h val="0.1640250222763725"/>
        </c:manualLayout>
      </c:layout>
      <c:overlay val="0"/>
      <c:txPr>
        <a:bodyPr/>
        <a:lstStyle/>
        <a:p>
          <a:pPr algn="just">
            <a:defRPr sz="920" b="0" i="0" u="none" strike="noStrike" baseline="0">
              <a:solidFill>
                <a:srgbClr val="000000"/>
              </a:solidFill>
              <a:latin typeface="Calibri"/>
              <a:ea typeface="Calibri"/>
              <a:cs typeface="Calibri"/>
            </a:defRPr>
          </a:pPr>
          <a:endParaRPr lang="ro-RO"/>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CF46-1998-44C7-B850-6481533E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7242</Words>
  <Characters>42006</Characters>
  <Application>Microsoft Office Word</Application>
  <DocSecurity>0</DocSecurity>
  <Lines>350</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Victor</cp:lastModifiedBy>
  <cp:revision>2</cp:revision>
  <cp:lastPrinted>2017-01-27T13:07:00Z</cp:lastPrinted>
  <dcterms:created xsi:type="dcterms:W3CDTF">2019-02-05T10:14:00Z</dcterms:created>
  <dcterms:modified xsi:type="dcterms:W3CDTF">2019-02-05T10:14:00Z</dcterms:modified>
</cp:coreProperties>
</file>